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0975F">
      <w:pPr>
        <w:pStyle w:val="3"/>
        <w:jc w:val="center"/>
      </w:pPr>
      <w:r>
        <w:rPr>
          <w:b/>
          <w:bCs/>
        </w:rPr>
        <w:t>Outside Bar Alert</w:t>
      </w:r>
    </w:p>
    <w:p w14:paraId="5BFBE968">
      <w:pPr>
        <w:pStyle w:val="4"/>
        <w:numPr>
          <w:ilvl w:val="0"/>
          <w:numId w:val="0"/>
        </w:numPr>
        <w:rPr>
          <w:rFonts w:hint="default"/>
          <w:lang w:val="en-US"/>
        </w:rPr>
      </w:pPr>
      <w:r>
        <w:rPr>
          <w:rFonts w:hint="default"/>
          <w:lang w:val="en-US"/>
        </w:rPr>
        <w:t>1. API Definition</w:t>
      </w:r>
    </w:p>
    <w:p w14:paraId="61ECB478">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Identifies a bullish or bearish Outside Bar using two consecutive daily OHLC candles. The supplied rule compares candle t with the immediately preceding daily candle t-1.</w:t>
      </w:r>
    </w:p>
    <w:p w14:paraId="3C4A03E7">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Recommended minimum history per security: 2 daily candles. No wider pattern look-back is required by the supplied conditions.</w:t>
      </w:r>
    </w:p>
    <w:p w14:paraId="3B489B33">
      <w:pPr>
        <w:pStyle w:val="4"/>
        <w:numPr>
          <w:ilvl w:val="0"/>
          <w:numId w:val="0"/>
        </w:numPr>
        <w:rPr>
          <w:rFonts w:hint="default"/>
          <w:lang w:val="en-US"/>
        </w:rPr>
      </w:pPr>
      <w:r>
        <w:rPr>
          <w:rFonts w:hint="default"/>
          <w:lang w:val="en-US"/>
        </w:rPr>
        <w:t>Bullish Outside Bar</w:t>
      </w:r>
    </w:p>
    <w:p w14:paraId="34B4CB58">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A bullish Outside Bar is detected when all conditions are true:</w:t>
      </w:r>
    </w:p>
    <w:p w14:paraId="7A8726AE">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High[t] &gt; High[t-1]</w:t>
      </w:r>
    </w:p>
    <w:p w14:paraId="3EE9FAC4">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AND Low[t] &lt; Low[t-1]</w:t>
      </w:r>
    </w:p>
    <w:p w14:paraId="03C8F0AF">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AND Close[t] &gt; Open[t]</w:t>
      </w:r>
    </w:p>
    <w:p w14:paraId="62A307F0">
      <w:pPr>
        <w:pStyle w:val="4"/>
        <w:numPr>
          <w:ilvl w:val="0"/>
          <w:numId w:val="0"/>
        </w:numPr>
        <w:rPr>
          <w:rFonts w:hint="default"/>
          <w:lang w:val="en-US"/>
        </w:rPr>
      </w:pPr>
      <w:r>
        <w:rPr>
          <w:rFonts w:hint="default"/>
          <w:lang w:val="en-US"/>
        </w:rPr>
        <w:t>Bearish Outside Bar</w:t>
      </w:r>
    </w:p>
    <w:p w14:paraId="2F3B0F8A">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A bearish Outside Bar is detected when all conditions are true:</w:t>
      </w:r>
    </w:p>
    <w:p w14:paraId="35F42779">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High[t] &gt; High[t-1]</w:t>
      </w:r>
    </w:p>
    <w:p w14:paraId="1E6699E4">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AND Low[t] &lt; Low[t-1]</w:t>
      </w:r>
    </w:p>
    <w:p w14:paraId="35AECAA5">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AND Close[t] &lt; Open[t]</w:t>
      </w:r>
    </w:p>
    <w:p w14:paraId="7B563660">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All comparisons are strict as supplied. A candle with Close[t] = Open[t] does not satisfy either direction.</w:t>
      </w:r>
    </w:p>
    <w:p w14:paraId="753E41E6">
      <w:pPr>
        <w:pStyle w:val="4"/>
        <w:numPr>
          <w:ilvl w:val="0"/>
          <w:numId w:val="0"/>
        </w:numPr>
        <w:rPr>
          <w:rFonts w:hint="default"/>
          <w:lang w:val="en-US"/>
        </w:rPr>
      </w:pPr>
      <w:r>
        <w:rPr>
          <w:rFonts w:hint="default"/>
          <w:lang w:val="en-US"/>
        </w:rPr>
        <w:t>2. Request</w:t>
      </w:r>
    </w:p>
    <w:p w14:paraId="3E3C0CDD">
      <w:pPr>
        <w:pStyle w:val="5"/>
      </w:pPr>
      <w:r>
        <w:rPr>
          <w:sz w:val="21"/>
          <w:szCs w:val="21"/>
        </w:rPr>
        <w:t>2.1 Endpoint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25"/>
        <w:gridCol w:w="7404"/>
      </w:tblGrid>
      <w:tr w14:paraId="00B12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blHeader/>
        </w:trPr>
        <w:tc>
          <w:tcPr>
            <w:tcW w:w="162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006674C3">
            <w:pPr>
              <w:spacing w:after="0"/>
            </w:pPr>
            <w:r>
              <w:rPr>
                <w:rFonts w:ascii="Calibri" w:hAnsi="Calibri"/>
                <w:b/>
                <w:sz w:val="21"/>
              </w:rPr>
              <w:t>Method</w:t>
            </w:r>
          </w:p>
        </w:tc>
        <w:tc>
          <w:tcPr>
            <w:tcW w:w="7404"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A0E6DA7">
            <w:pPr>
              <w:spacing w:after="0"/>
            </w:pPr>
            <w:r>
              <w:rPr>
                <w:rFonts w:ascii="Calibri" w:hAnsi="Calibri"/>
                <w:b/>
                <w:sz w:val="21"/>
              </w:rPr>
              <w:t>Endpoint</w:t>
            </w:r>
          </w:p>
        </w:tc>
      </w:tr>
      <w:tr w14:paraId="3112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7D00146">
            <w:pPr>
              <w:spacing w:after="0"/>
            </w:pPr>
            <w:r>
              <w:rPr>
                <w:rFonts w:ascii="Calibri" w:hAnsi="Calibri"/>
                <w:sz w:val="21"/>
              </w:rPr>
              <w:t>GET</w:t>
            </w:r>
          </w:p>
        </w:tc>
        <w:tc>
          <w:tcPr>
            <w:tcW w:w="74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AF8ECFC">
            <w:pPr>
              <w:spacing w:after="0"/>
            </w:pPr>
            <w:r>
              <w:rPr>
                <w:rFonts w:ascii="Calibri" w:hAnsi="Calibri"/>
                <w:sz w:val="21"/>
              </w:rPr>
              <w:t>/api/eodanalytics/</w:t>
            </w:r>
            <w:r>
              <w:rPr>
                <w:rFonts w:hint="default" w:ascii="Calibri" w:hAnsi="Calibri"/>
                <w:sz w:val="21"/>
              </w:rPr>
              <w:t>TechnicalScreeners</w:t>
            </w:r>
            <w:r>
              <w:rPr>
                <w:rFonts w:ascii="Calibri" w:hAnsi="Calibri"/>
                <w:sz w:val="21"/>
              </w:rPr>
              <w:t>/OutsideBar/{exchange}/{ticker?}</w:t>
            </w:r>
          </w:p>
        </w:tc>
      </w:tr>
      <w:tr w14:paraId="1B64A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1CF29E8">
            <w:pPr>
              <w:spacing w:after="0"/>
              <w:rPr>
                <w:rFonts w:ascii="Calibri" w:hAnsi="Calibri"/>
                <w:sz w:val="21"/>
              </w:rPr>
            </w:pPr>
            <w:r>
              <w:rPr>
                <w:rFonts w:ascii="Calibri" w:hAnsi="Calibri"/>
                <w:sz w:val="21"/>
              </w:rPr>
              <w:t>GET</w:t>
            </w:r>
          </w:p>
        </w:tc>
        <w:tc>
          <w:tcPr>
            <w:tcW w:w="740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EBC3C4E">
            <w:pPr>
              <w:spacing w:after="0"/>
              <w:rPr>
                <w:rFonts w:ascii="Calibri" w:hAnsi="Calibri"/>
                <w:sz w:val="21"/>
              </w:rPr>
            </w:pPr>
            <w:r>
              <w:rPr>
                <w:rFonts w:ascii="Calibri" w:hAnsi="Calibri"/>
                <w:sz w:val="21"/>
              </w:rPr>
              <w:t>/api/eodanalytics/</w:t>
            </w:r>
            <w:r>
              <w:rPr>
                <w:rFonts w:hint="default" w:ascii="Calibri" w:hAnsi="Calibri"/>
                <w:sz w:val="21"/>
              </w:rPr>
              <w:t>TechnicalScreeners</w:t>
            </w:r>
            <w:r>
              <w:rPr>
                <w:rFonts w:hint="default"/>
                <w:sz w:val="21"/>
                <w:lang w:val="en-US"/>
              </w:rPr>
              <w:t>Live</w:t>
            </w:r>
            <w:bookmarkStart w:id="0" w:name="_GoBack"/>
            <w:bookmarkEnd w:id="0"/>
            <w:r>
              <w:rPr>
                <w:rFonts w:ascii="Calibri" w:hAnsi="Calibri"/>
                <w:sz w:val="21"/>
              </w:rPr>
              <w:t>/OutsideBar/{exchange}/{ticker?}</w:t>
            </w:r>
          </w:p>
        </w:tc>
      </w:tr>
    </w:tbl>
    <w:p w14:paraId="3FD7241B">
      <w:pPr>
        <w:pStyle w:val="4"/>
        <w:numPr>
          <w:ilvl w:val="0"/>
          <w:numId w:val="1"/>
        </w:numPr>
        <w:rPr>
          <w:rFonts w:hint="default"/>
          <w:lang w:val="en-US"/>
        </w:rPr>
      </w:pPr>
      <w:r>
        <w:rPr>
          <w:rFonts w:hint="default"/>
          <w:lang w:val="en-US"/>
        </w:rPr>
        <w:t>Path Parameters</w:t>
      </w:r>
    </w:p>
    <w:tbl>
      <w:tblPr>
        <w:tblStyle w:val="12"/>
        <w:tblW w:w="92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25"/>
        <w:gridCol w:w="1445"/>
        <w:gridCol w:w="5959"/>
      </w:tblGrid>
      <w:tr w14:paraId="1D09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2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043B6B20">
            <w:pPr>
              <w:spacing w:after="0"/>
            </w:pPr>
            <w:r>
              <w:rPr>
                <w:rFonts w:ascii="Calibri" w:hAnsi="Calibri"/>
                <w:b/>
                <w:sz w:val="21"/>
              </w:rPr>
              <w:t>Parameter</w:t>
            </w:r>
          </w:p>
        </w:tc>
        <w:tc>
          <w:tcPr>
            <w:tcW w:w="144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010144F">
            <w:pPr>
              <w:spacing w:after="0"/>
            </w:pPr>
            <w:r>
              <w:rPr>
                <w:rFonts w:ascii="Calibri" w:hAnsi="Calibri"/>
                <w:b/>
                <w:sz w:val="21"/>
              </w:rPr>
              <w:t>Required</w:t>
            </w:r>
          </w:p>
        </w:tc>
        <w:tc>
          <w:tcPr>
            <w:tcW w:w="5959"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B64C3D6">
            <w:pPr>
              <w:spacing w:after="0"/>
            </w:pPr>
            <w:r>
              <w:rPr>
                <w:rFonts w:ascii="Calibri" w:hAnsi="Calibri"/>
                <w:b/>
                <w:sz w:val="21"/>
              </w:rPr>
              <w:t>Description</w:t>
            </w:r>
          </w:p>
        </w:tc>
      </w:tr>
      <w:tr w14:paraId="67B6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B94F978">
            <w:pPr>
              <w:spacing w:after="0"/>
            </w:pPr>
            <w:r>
              <w:rPr>
                <w:rFonts w:ascii="Calibri" w:hAnsi="Calibri"/>
                <w:sz w:val="21"/>
              </w:rPr>
              <w:t>exchange</w:t>
            </w:r>
          </w:p>
        </w:tc>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59D8E73">
            <w:pPr>
              <w:spacing w:after="0"/>
            </w:pPr>
            <w:r>
              <w:rPr>
                <w:rFonts w:ascii="Calibri" w:hAnsi="Calibri"/>
                <w:sz w:val="21"/>
              </w:rPr>
              <w:t>Yes</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0888DB0">
            <w:pPr>
              <w:spacing w:after="0"/>
            </w:pPr>
            <w:r>
              <w:rPr>
                <w:rFonts w:ascii="Calibri" w:hAnsi="Calibri"/>
                <w:sz w:val="21"/>
              </w:rPr>
              <w:t>Exchange to analyze, such as NSE or BSE.</w:t>
            </w:r>
          </w:p>
        </w:tc>
      </w:tr>
      <w:tr w14:paraId="7B2B9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F1FC623">
            <w:pPr>
              <w:spacing w:after="0"/>
            </w:pPr>
            <w:r>
              <w:rPr>
                <w:rFonts w:ascii="Calibri" w:hAnsi="Calibri"/>
                <w:sz w:val="21"/>
              </w:rPr>
              <w:t>ticker</w:t>
            </w:r>
          </w:p>
        </w:tc>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C1D9AC3">
            <w:pPr>
              <w:spacing w:after="0"/>
            </w:pPr>
            <w:r>
              <w:rPr>
                <w:rFonts w:ascii="Calibri" w:hAnsi="Calibri"/>
                <w:sz w:val="21"/>
              </w:rPr>
              <w:t>No</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002EBEB">
            <w:pPr>
              <w:spacing w:after="0"/>
            </w:pPr>
            <w:r>
              <w:rPr>
                <w:rFonts w:ascii="Calibri" w:hAnsi="Calibri"/>
                <w:sz w:val="21"/>
              </w:rPr>
              <w:t>Specific stock ticker. If omitted, evaluate all stocks for the exchange.</w:t>
            </w:r>
          </w:p>
        </w:tc>
      </w:tr>
    </w:tbl>
    <w:p w14:paraId="342C4210">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endpoint follows the existing MarketAlert route pattern. Confirm the final route name and response envelope against the application conventions.</w:t>
      </w:r>
    </w:p>
    <w:p w14:paraId="777EAD76">
      <w:pPr>
        <w:pStyle w:val="5"/>
      </w:pPr>
      <w:r>
        <w:rPr>
          <w:sz w:val="21"/>
          <w:szCs w:val="21"/>
        </w:rPr>
        <w:t>2.2 Evaluation Modes</w:t>
      </w:r>
    </w:p>
    <w:p w14:paraId="798CB6C8">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EOD mode (recommended default): compare the latest completed daily candle t with the preceding completed daily candle t-1. This produces a stable end-of-day result.</w:t>
      </w:r>
    </w:p>
    <w:p w14:paraId="78A5CC9B">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EOD+LiveData mode (optional): compare the current in-progress daily candle, updated with live market data, with the preceding completed daily candle. Mark the result as provisional because the live candle High, Low, and Close can change before the session ends.</w:t>
      </w:r>
    </w:p>
    <w:p w14:paraId="4FA7AC00">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evaluation mode changes which candle is used as t; it does not change the Outside Bar conditions.</w:t>
      </w:r>
    </w:p>
    <w:p w14:paraId="6B48F9BD">
      <w:pPr>
        <w:pStyle w:val="4"/>
        <w:numPr>
          <w:ilvl w:val="0"/>
          <w:numId w:val="1"/>
        </w:numPr>
        <w:rPr>
          <w:rFonts w:hint="default"/>
          <w:lang w:val="en-US"/>
        </w:rPr>
      </w:pPr>
      <w:r>
        <w:rPr>
          <w:rFonts w:hint="default"/>
          <w:lang w:val="en-US"/>
        </w:rPr>
        <w:t>3. Response</w:t>
      </w:r>
    </w:p>
    <w:p w14:paraId="28DCA2B9">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response should identify whether an Outside Bar was detected, its direction, the evaluation mode, and the two candles used. Field names and the outer response structure below are suggested and should follow existing MarketAlert conventions.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86"/>
        <w:gridCol w:w="1354"/>
        <w:gridCol w:w="5688"/>
      </w:tblGrid>
      <w:tr w14:paraId="5181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86"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B49F0AB">
            <w:pPr>
              <w:spacing w:after="0"/>
            </w:pPr>
            <w:r>
              <w:rPr>
                <w:rFonts w:ascii="Calibri" w:hAnsi="Calibri"/>
                <w:b/>
                <w:sz w:val="21"/>
              </w:rPr>
              <w:t>Field</w:t>
            </w:r>
          </w:p>
        </w:tc>
        <w:tc>
          <w:tcPr>
            <w:tcW w:w="1354"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F2CEF7A">
            <w:pPr>
              <w:spacing w:after="0"/>
            </w:pPr>
            <w:r>
              <w:rPr>
                <w:rFonts w:ascii="Calibri" w:hAnsi="Calibri"/>
                <w:b/>
                <w:sz w:val="21"/>
              </w:rPr>
              <w:t>Type</w:t>
            </w:r>
          </w:p>
        </w:tc>
        <w:tc>
          <w:tcPr>
            <w:tcW w:w="5688"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18AE584A">
            <w:pPr>
              <w:spacing w:after="0"/>
            </w:pPr>
            <w:r>
              <w:rPr>
                <w:rFonts w:ascii="Calibri" w:hAnsi="Calibri"/>
                <w:b/>
                <w:sz w:val="21"/>
              </w:rPr>
              <w:t>Description</w:t>
            </w:r>
          </w:p>
        </w:tc>
      </w:tr>
      <w:tr w14:paraId="43068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C78E7F0">
            <w:pPr>
              <w:spacing w:after="0"/>
            </w:pPr>
            <w:r>
              <w:rPr>
                <w:rFonts w:ascii="Calibri" w:hAnsi="Calibri"/>
                <w:sz w:val="21"/>
              </w:rPr>
              <w:t>ticker</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1F46C84">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C502F59">
            <w:pPr>
              <w:spacing w:after="0"/>
            </w:pPr>
            <w:r>
              <w:rPr>
                <w:rFonts w:ascii="Calibri" w:hAnsi="Calibri"/>
                <w:sz w:val="21"/>
              </w:rPr>
              <w:t>Stock ticker.</w:t>
            </w:r>
          </w:p>
        </w:tc>
      </w:tr>
      <w:tr w14:paraId="4B63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5C34D39">
            <w:pPr>
              <w:spacing w:after="0"/>
            </w:pPr>
            <w:r>
              <w:rPr>
                <w:rFonts w:ascii="Calibri" w:hAnsi="Calibri"/>
                <w:sz w:val="21"/>
              </w:rPr>
              <w:t>token</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9888BEF">
            <w:pPr>
              <w:spacing w:after="0"/>
            </w:pPr>
            <w:r>
              <w:rPr>
                <w:rFonts w:ascii="Calibri" w:hAnsi="Calibri"/>
                <w:sz w:val="21"/>
              </w:rPr>
              <w:t>long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EF6C50E">
            <w:pPr>
              <w:spacing w:after="0"/>
            </w:pPr>
            <w:r>
              <w:rPr>
                <w:rFonts w:ascii="Calibri" w:hAnsi="Calibri"/>
                <w:sz w:val="21"/>
              </w:rPr>
              <w:t>Security/token identifier.</w:t>
            </w:r>
          </w:p>
        </w:tc>
      </w:tr>
      <w:tr w14:paraId="518D5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4169D42">
            <w:pPr>
              <w:spacing w:after="0"/>
            </w:pPr>
            <w:r>
              <w:rPr>
                <w:rFonts w:ascii="Calibri" w:hAnsi="Calibri"/>
                <w:sz w:val="21"/>
              </w:rPr>
              <w:t>pattern</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035E569">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482CC98">
            <w:pPr>
              <w:spacing w:after="0"/>
            </w:pPr>
            <w:r>
              <w:rPr>
                <w:rFonts w:ascii="Calibri" w:hAnsi="Calibri"/>
                <w:sz w:val="21"/>
              </w:rPr>
              <w:t>OutsideBar.</w:t>
            </w:r>
          </w:p>
        </w:tc>
      </w:tr>
      <w:tr w14:paraId="418B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7D1FE75">
            <w:pPr>
              <w:spacing w:after="0"/>
            </w:pPr>
            <w:r>
              <w:rPr>
                <w:rFonts w:ascii="Calibri" w:hAnsi="Calibri"/>
                <w:sz w:val="21"/>
              </w:rPr>
              <w:t>isPatternDetected</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0E94E6B">
            <w:pPr>
              <w:spacing w:after="0"/>
            </w:pPr>
            <w:r>
              <w:rPr>
                <w:rFonts w:ascii="Calibri" w:hAnsi="Calibri"/>
                <w:sz w:val="21"/>
              </w:rPr>
              <w:t>bool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E4F0ACF">
            <w:pPr>
              <w:spacing w:after="0"/>
            </w:pPr>
            <w:r>
              <w:rPr>
                <w:rFonts w:ascii="Calibri" w:hAnsi="Calibri"/>
                <w:sz w:val="21"/>
              </w:rPr>
              <w:t>Whether either supplied Outside Bar rule is satisfied.</w:t>
            </w:r>
          </w:p>
        </w:tc>
      </w:tr>
      <w:tr w14:paraId="628FD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0A8BC84">
            <w:pPr>
              <w:spacing w:after="0"/>
            </w:pPr>
            <w:r>
              <w:rPr>
                <w:rFonts w:ascii="Calibri" w:hAnsi="Calibri"/>
                <w:sz w:val="21"/>
              </w:rPr>
              <w:t>patternType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430AC95">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6B53820">
            <w:pPr>
              <w:spacing w:after="0"/>
            </w:pPr>
            <w:r>
              <w:rPr>
                <w:rFonts w:ascii="Calibri" w:hAnsi="Calibri"/>
                <w:sz w:val="21"/>
              </w:rPr>
              <w:t>Bullish Outside Bar, Bearish Outside Bar, or null.</w:t>
            </w:r>
          </w:p>
        </w:tc>
      </w:tr>
      <w:tr w14:paraId="686E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38A5B8E">
            <w:pPr>
              <w:spacing w:after="0"/>
            </w:pPr>
            <w:r>
              <w:rPr>
                <w:rFonts w:ascii="Calibri" w:hAnsi="Calibri"/>
                <w:sz w:val="21"/>
              </w:rPr>
              <w:t>direction</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3002A31">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B0F5C83">
            <w:pPr>
              <w:spacing w:after="0"/>
            </w:pPr>
            <w:r>
              <w:rPr>
                <w:rFonts w:ascii="Calibri" w:hAnsi="Calibri"/>
                <w:sz w:val="21"/>
              </w:rPr>
              <w:t>Bullish, Bearish, or null.</w:t>
            </w:r>
          </w:p>
        </w:tc>
      </w:tr>
      <w:tr w14:paraId="2226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E1B17E3">
            <w:pPr>
              <w:spacing w:after="0"/>
            </w:pPr>
            <w:r>
              <w:rPr>
                <w:rFonts w:ascii="Calibri" w:hAnsi="Calibri"/>
                <w:sz w:val="21"/>
              </w:rPr>
              <w:t>evaluationMode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6F28BBC">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DDD4065">
            <w:pPr>
              <w:spacing w:after="0"/>
            </w:pPr>
            <w:r>
              <w:rPr>
                <w:rFonts w:ascii="Calibri" w:hAnsi="Calibri"/>
                <w:sz w:val="21"/>
              </w:rPr>
              <w:t>EOD or EOD+LiveData.</w:t>
            </w:r>
          </w:p>
        </w:tc>
      </w:tr>
      <w:tr w14:paraId="0F2EE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C408951">
            <w:pPr>
              <w:spacing w:after="0"/>
            </w:pPr>
            <w:r>
              <w:rPr>
                <w:rFonts w:ascii="Calibri" w:hAnsi="Calibri"/>
                <w:sz w:val="21"/>
              </w:rPr>
              <w:t>isProvisional</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E362719">
            <w:pPr>
              <w:spacing w:after="0"/>
            </w:pPr>
            <w:r>
              <w:rPr>
                <w:rFonts w:ascii="Calibri" w:hAnsi="Calibri"/>
                <w:sz w:val="21"/>
              </w:rPr>
              <w:t>bool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7771188">
            <w:pPr>
              <w:spacing w:after="0"/>
            </w:pPr>
            <w:r>
              <w:rPr>
                <w:rFonts w:ascii="Calibri" w:hAnsi="Calibri"/>
                <w:sz w:val="21"/>
              </w:rPr>
              <w:t>True for a signal evaluated on the in-progress daily candle.</w:t>
            </w:r>
          </w:p>
        </w:tc>
      </w:tr>
      <w:tr w14:paraId="2C23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0418506">
            <w:pPr>
              <w:spacing w:after="0"/>
            </w:pPr>
            <w:r>
              <w:rPr>
                <w:rFonts w:ascii="Calibri" w:hAnsi="Calibri"/>
                <w:sz w:val="21"/>
              </w:rPr>
              <w:t>currentOpen</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D57AD06">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D1767BC">
            <w:pPr>
              <w:spacing w:after="0"/>
            </w:pPr>
            <w:r>
              <w:rPr>
                <w:rFonts w:ascii="Calibri" w:hAnsi="Calibri"/>
                <w:sz w:val="21"/>
              </w:rPr>
              <w:t>Open of candle t.</w:t>
            </w:r>
          </w:p>
        </w:tc>
      </w:tr>
      <w:tr w14:paraId="7B03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57FF58B">
            <w:pPr>
              <w:spacing w:after="0"/>
            </w:pPr>
            <w:r>
              <w:rPr>
                <w:rFonts w:ascii="Calibri" w:hAnsi="Calibri"/>
                <w:sz w:val="21"/>
              </w:rPr>
              <w:t>currentHigh</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D003D89">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2340B2C">
            <w:pPr>
              <w:spacing w:after="0"/>
            </w:pPr>
            <w:r>
              <w:rPr>
                <w:rFonts w:ascii="Calibri" w:hAnsi="Calibri"/>
                <w:sz w:val="21"/>
              </w:rPr>
              <w:t>High of candle t.</w:t>
            </w:r>
          </w:p>
        </w:tc>
      </w:tr>
      <w:tr w14:paraId="79DA1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340A236">
            <w:pPr>
              <w:spacing w:after="0"/>
            </w:pPr>
            <w:r>
              <w:rPr>
                <w:rFonts w:ascii="Calibri" w:hAnsi="Calibri"/>
                <w:sz w:val="21"/>
              </w:rPr>
              <w:t>currentLow</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FC7775F">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7568BE3">
            <w:pPr>
              <w:spacing w:after="0"/>
            </w:pPr>
            <w:r>
              <w:rPr>
                <w:rFonts w:ascii="Calibri" w:hAnsi="Calibri"/>
                <w:sz w:val="21"/>
              </w:rPr>
              <w:t>Low of candle t.</w:t>
            </w:r>
          </w:p>
        </w:tc>
      </w:tr>
      <w:tr w14:paraId="143D0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9DACE44">
            <w:pPr>
              <w:spacing w:after="0"/>
            </w:pPr>
            <w:r>
              <w:rPr>
                <w:rFonts w:ascii="Calibri" w:hAnsi="Calibri"/>
                <w:sz w:val="21"/>
              </w:rPr>
              <w:t>currentClose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AC2CB06">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D65BBD6">
            <w:pPr>
              <w:spacing w:after="0"/>
            </w:pPr>
            <w:r>
              <w:rPr>
                <w:rFonts w:ascii="Calibri" w:hAnsi="Calibri"/>
                <w:sz w:val="21"/>
              </w:rPr>
              <w:t>Close/last traded price of candle t.</w:t>
            </w:r>
          </w:p>
        </w:tc>
      </w:tr>
      <w:tr w14:paraId="67175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C29DBD7">
            <w:pPr>
              <w:spacing w:after="0"/>
            </w:pPr>
            <w:r>
              <w:rPr>
                <w:rFonts w:ascii="Calibri" w:hAnsi="Calibri"/>
                <w:sz w:val="21"/>
              </w:rPr>
              <w:t>previousHigh</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1782471">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95F1A8D">
            <w:pPr>
              <w:spacing w:after="0"/>
            </w:pPr>
            <w:r>
              <w:rPr>
                <w:rFonts w:ascii="Calibri" w:hAnsi="Calibri"/>
                <w:sz w:val="21"/>
              </w:rPr>
              <w:t>High of candle t-1.</w:t>
            </w:r>
          </w:p>
        </w:tc>
      </w:tr>
      <w:tr w14:paraId="6212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A13802C">
            <w:pPr>
              <w:spacing w:after="0"/>
            </w:pPr>
            <w:r>
              <w:rPr>
                <w:rFonts w:ascii="Calibri" w:hAnsi="Calibri"/>
                <w:sz w:val="21"/>
              </w:rPr>
              <w:t>previousLow</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25AB4B4">
            <w:pPr>
              <w:spacing w:after="0"/>
            </w:pPr>
            <w:r>
              <w:rPr>
                <w:rFonts w:ascii="Calibri" w:hAnsi="Calibri"/>
                <w:sz w:val="21"/>
              </w:rPr>
              <w:t>decimal</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7B3B269">
            <w:pPr>
              <w:spacing w:after="0"/>
            </w:pPr>
            <w:r>
              <w:rPr>
                <w:rFonts w:ascii="Calibri" w:hAnsi="Calibri"/>
                <w:sz w:val="21"/>
              </w:rPr>
              <w:t>Low of candle t-1.</w:t>
            </w:r>
          </w:p>
        </w:tc>
      </w:tr>
      <w:tr w14:paraId="52192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5CC3BAF">
            <w:pPr>
              <w:spacing w:after="0"/>
            </w:pPr>
            <w:r>
              <w:rPr>
                <w:rFonts w:ascii="Calibri" w:hAnsi="Calibri"/>
                <w:sz w:val="21"/>
              </w:rPr>
              <w:t>currentCandleDate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F6EDA45">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4032D2F">
            <w:pPr>
              <w:spacing w:after="0"/>
            </w:pPr>
            <w:r>
              <w:rPr>
                <w:rFonts w:ascii="Calibri" w:hAnsi="Calibri"/>
                <w:sz w:val="21"/>
              </w:rPr>
              <w:t>Trading date for candle t.</w:t>
            </w:r>
          </w:p>
        </w:tc>
      </w:tr>
      <w:tr w14:paraId="5F3BF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E49C109">
            <w:pPr>
              <w:spacing w:after="0"/>
            </w:pPr>
            <w:r>
              <w:rPr>
                <w:rFonts w:ascii="Calibri" w:hAnsi="Calibri"/>
                <w:sz w:val="21"/>
              </w:rPr>
              <w:t>previousCandleDate</w:t>
            </w:r>
          </w:p>
        </w:tc>
        <w:tc>
          <w:tcPr>
            <w:tcW w:w="135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D933AE6">
            <w:pPr>
              <w:spacing w:after="0"/>
            </w:pPr>
            <w:r>
              <w:rPr>
                <w:rFonts w:ascii="Calibri" w:hAnsi="Calibri"/>
                <w:sz w:val="21"/>
              </w:rPr>
              <w:t>string</w:t>
            </w:r>
          </w:p>
        </w:tc>
        <w:tc>
          <w:tcPr>
            <w:tcW w:w="568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B611636">
            <w:pPr>
              <w:spacing w:after="0"/>
            </w:pPr>
            <w:r>
              <w:rPr>
                <w:rFonts w:ascii="Calibri" w:hAnsi="Calibri"/>
                <w:sz w:val="21"/>
              </w:rPr>
              <w:t>Trading date for candle t-1.</w:t>
            </w:r>
          </w:p>
        </w:tc>
      </w:tr>
    </w:tbl>
    <w:p w14:paraId="20B54A53">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Illustrative JSON — EOD Bullish Outside Bar</w:t>
      </w:r>
    </w:p>
    <w:p w14:paraId="7C40A1E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w:t>
      </w:r>
    </w:p>
    <w:p w14:paraId="5AC3EEB6">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"timeStamp": "2026-09-24T18:00:00",</w:t>
      </w:r>
    </w:p>
    <w:p w14:paraId="5A846E5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"exchange": "NSE",</w:t>
      </w:r>
    </w:p>
    <w:p w14:paraId="18FA462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"data": [</w:t>
      </w:r>
    </w:p>
    <w:p w14:paraId="523A533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1870DB2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"ticker": "APEXECO",</w:t>
      </w:r>
    </w:p>
    <w:p w14:paraId="1EDC30C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"token": 5421,</w:t>
      </w:r>
    </w:p>
    <w:p w14:paraId="20D091D6">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"pattern": "OutsideBar",</w:t>
      </w:r>
    </w:p>
    <w:p w14:paraId="14C0D2A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"isPatternDetected": true,</w:t>
      </w:r>
    </w:p>
    <w:p w14:paraId="0910E60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"patternType": "Bullish Outside Bar",</w:t>
      </w:r>
    </w:p>
    <w:p w14:paraId="05267B5C">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"direction": "Bullish",</w:t>
      </w:r>
    </w:p>
    <w:p w14:paraId="66C9993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"evaluationMode": "EOD",</w:t>
      </w:r>
    </w:p>
    <w:p w14:paraId="073732A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"isProvisional": false,</w:t>
      </w:r>
    </w:p>
    <w:p w14:paraId="0987A519">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"currentOpen": 148.00,</w:t>
      </w:r>
    </w:p>
    <w:p w14:paraId="34C131F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"currentHigh": 155.00,</w:t>
      </w:r>
    </w:p>
    <w:p w14:paraId="4BB684D9">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"currentLow": 146.00,</w:t>
      </w:r>
    </w:p>
    <w:p w14:paraId="65F20EF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"currentClose": 153.00,</w:t>
      </w:r>
    </w:p>
    <w:p w14:paraId="7F09DB3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"previousHigh": 152.00,</w:t>
      </w:r>
    </w:p>
    <w:p w14:paraId="6ADCD65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"previousLow": 147.00,</w:t>
      </w:r>
    </w:p>
    <w:p w14:paraId="333410D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"currentCandleDate": "2026-09-24",</w:t>
      </w:r>
    </w:p>
    <w:p w14:paraId="7337295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"previousCandleDate": "2026-09-23"</w:t>
      </w:r>
    </w:p>
    <w:p w14:paraId="78FC6341">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38F62D4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2FC5905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w:t>
      </w:r>
    </w:p>
    <w:p w14:paraId="4E0A242E">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Illustrative JSON — EOD+LiveData Bearish Outside Bar</w:t>
      </w:r>
    </w:p>
    <w:p w14:paraId="536F9E93">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w:t>
      </w:r>
    </w:p>
    <w:p w14:paraId="5A2CF849">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"timeStamp": "2026-09-24T12:30:00",</w:t>
      </w:r>
    </w:p>
    <w:p w14:paraId="207B0189">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"exchange": "NSE",</w:t>
      </w:r>
    </w:p>
    <w:p w14:paraId="0F46B8A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"data": [</w:t>
      </w:r>
    </w:p>
    <w:p w14:paraId="4EBB6C69">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61755BC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"ticker": "APEXECO",</w:t>
      </w:r>
    </w:p>
    <w:p w14:paraId="139BAD2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"token": 5421,</w:t>
      </w:r>
    </w:p>
    <w:p w14:paraId="79640A2D">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"pattern": "OutsideBar",</w:t>
      </w:r>
    </w:p>
    <w:p w14:paraId="2FBBF5D4">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"isPatternDetected": true,</w:t>
      </w:r>
    </w:p>
    <w:p w14:paraId="1C226D7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"patternType": "Bearish Outside Bar",</w:t>
      </w:r>
    </w:p>
    <w:p w14:paraId="7099002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"direction": "Bearish",</w:t>
      </w:r>
    </w:p>
    <w:p w14:paraId="72109F8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"evaluationMode": "EOD+LiveData",</w:t>
      </w:r>
    </w:p>
    <w:p w14:paraId="26847D2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"isProvisional": true,</w:t>
      </w:r>
    </w:p>
    <w:p w14:paraId="675CB1E3">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"currentOpen": 148.00,</w:t>
      </w:r>
    </w:p>
    <w:p w14:paraId="31C02A0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"currentHigh": 156.00,</w:t>
      </w:r>
    </w:p>
    <w:p w14:paraId="0655F18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"currentLow": 145.00,</w:t>
      </w:r>
    </w:p>
    <w:p w14:paraId="6F5676F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"currentClose": 146.00,</w:t>
      </w:r>
    </w:p>
    <w:p w14:paraId="6E58C4C2">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"previousHigh": 152.00,</w:t>
      </w:r>
    </w:p>
    <w:p w14:paraId="4D11C89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"previousLow": 147.00,</w:t>
      </w:r>
    </w:p>
    <w:p w14:paraId="3DCA4023">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"currentCandleDate": "2026-09-24",</w:t>
      </w:r>
    </w:p>
    <w:p w14:paraId="4963CD9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"previousCandleDate": "2026-09-23"</w:t>
      </w:r>
    </w:p>
    <w:p w14:paraId="49B52B46">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0A971C8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w:t>
      </w:r>
    </w:p>
    <w:p w14:paraId="6F6B578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w:t>
      </w:r>
    </w:p>
    <w:p w14:paraId="40365927">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Example prices only illustrate the rule. They do not add thresholds or additional detection conditions.</w:t>
      </w:r>
    </w:p>
    <w:p w14:paraId="1EE2A1CC">
      <w:pPr>
        <w:pStyle w:val="4"/>
        <w:numPr>
          <w:ilvl w:val="0"/>
          <w:numId w:val="1"/>
        </w:numPr>
        <w:rPr>
          <w:rFonts w:hint="default"/>
          <w:lang w:val="en-US"/>
        </w:rPr>
      </w:pPr>
      <w:r>
        <w:rPr>
          <w:rFonts w:hint="default"/>
          <w:lang w:val="en-US"/>
        </w:rPr>
        <w:t>4. Data Required and Data Sources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77"/>
        <w:gridCol w:w="3612"/>
        <w:gridCol w:w="3341"/>
      </w:tblGrid>
      <w:tr w14:paraId="168F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77"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FA322FA">
            <w:pPr>
              <w:spacing w:after="0"/>
            </w:pPr>
            <w:r>
              <w:rPr>
                <w:rFonts w:ascii="Calibri" w:hAnsi="Calibri"/>
                <w:b/>
                <w:sz w:val="21"/>
              </w:rPr>
              <w:t>Data</w:t>
            </w:r>
          </w:p>
        </w:tc>
        <w:tc>
          <w:tcPr>
            <w:tcW w:w="3612"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2D0B8D1B">
            <w:pPr>
              <w:spacing w:after="0"/>
            </w:pPr>
            <w:r>
              <w:rPr>
                <w:rFonts w:ascii="Calibri" w:hAnsi="Calibri"/>
                <w:b/>
                <w:sz w:val="21"/>
              </w:rPr>
              <w:t>Source</w:t>
            </w:r>
          </w:p>
        </w:tc>
        <w:tc>
          <w:tcPr>
            <w:tcW w:w="334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20DBBE2">
            <w:pPr>
              <w:spacing w:after="0"/>
            </w:pPr>
            <w:r>
              <w:rPr>
                <w:rFonts w:ascii="Calibri" w:hAnsi="Calibri"/>
                <w:b/>
                <w:sz w:val="21"/>
              </w:rPr>
              <w:t>Purpose</w:t>
            </w:r>
          </w:p>
        </w:tc>
      </w:tr>
      <w:tr w14:paraId="4AB67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EFE1A32">
            <w:pPr>
              <w:spacing w:after="0"/>
            </w:pPr>
            <w:r>
              <w:rPr>
                <w:rFonts w:ascii="Calibri" w:hAnsi="Calibri"/>
                <w:sz w:val="21"/>
              </w:rPr>
              <w:t>Stock/Security Master</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258CD66">
            <w:pPr>
              <w:spacing w:after="0"/>
            </w:pPr>
            <w:r>
              <w:rPr>
                <w:rFonts w:ascii="Calibri" w:hAnsi="Calibri"/>
                <w:sz w:val="21"/>
              </w:rPr>
              <w:t>ChartPatternSqliteService.GetSecurityMasterAsync / masterdetail</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0E120B3">
            <w:pPr>
              <w:spacing w:after="0"/>
            </w:pPr>
            <w:r>
              <w:rPr>
                <w:rFonts w:ascii="Calibri" w:hAnsi="Calibri"/>
                <w:sz w:val="21"/>
              </w:rPr>
              <w:t>Resolve ticker, exchange, and token.</w:t>
            </w:r>
          </w:p>
        </w:tc>
      </w:tr>
      <w:tr w14:paraId="75F0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5522C7A">
            <w:pPr>
              <w:spacing w:after="0"/>
            </w:pPr>
            <w:r>
              <w:rPr>
                <w:rFonts w:ascii="Calibri" w:hAnsi="Calibri"/>
                <w:sz w:val="21"/>
              </w:rPr>
              <w:t>Historical daily OHLC</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7923329">
            <w:pPr>
              <w:spacing w:after="0"/>
            </w:pPr>
            <w:r>
              <w:rPr>
                <w:rFonts w:ascii="Calibri" w:hAnsi="Calibri"/>
                <w:sz w:val="21"/>
              </w:rPr>
              <w:t>SQLite historical bar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315CE94">
            <w:pPr>
              <w:spacing w:after="0"/>
            </w:pPr>
            <w:r>
              <w:rPr>
                <w:rFonts w:ascii="Calibri" w:hAnsi="Calibri"/>
                <w:sz w:val="21"/>
              </w:rPr>
              <w:t>Obtain completed daily Open, High, Low, Close and symbol/date keys.</w:t>
            </w:r>
          </w:p>
        </w:tc>
      </w:tr>
      <w:tr w14:paraId="6EBB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9E8A521">
            <w:pPr>
              <w:spacing w:after="0"/>
            </w:pPr>
            <w:r>
              <w:rPr>
                <w:rFonts w:ascii="Calibri" w:hAnsi="Calibri"/>
                <w:sz w:val="21"/>
              </w:rPr>
              <w:t>Live OHLC (optional)</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E114678">
            <w:pPr>
              <w:spacing w:after="0"/>
            </w:pPr>
            <w:r>
              <w:rPr>
                <w:rFonts w:ascii="Calibri" w:hAnsi="Calibri"/>
                <w:sz w:val="21"/>
              </w:rPr>
              <w:t>Existing live market-data source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14650A1">
            <w:pPr>
              <w:spacing w:after="0"/>
            </w:pPr>
            <w:r>
              <w:rPr>
                <w:rFonts w:ascii="Calibri" w:hAnsi="Calibri"/>
                <w:sz w:val="21"/>
              </w:rPr>
              <w:t>Build the current in-progress daily candle when EOD+LiveData mode is selected.</w:t>
            </w:r>
          </w:p>
        </w:tc>
      </w:tr>
      <w:tr w14:paraId="4C8FD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3EDF937">
            <w:pPr>
              <w:spacing w:after="0"/>
            </w:pPr>
            <w:r>
              <w:rPr>
                <w:rFonts w:ascii="Calibri" w:hAnsi="Calibri"/>
                <w:sz w:val="21"/>
              </w:rPr>
              <w:t>Bars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870EAEA">
            <w:pPr>
              <w:spacing w:after="0"/>
            </w:pPr>
            <w:r>
              <w:rPr>
                <w:rFonts w:ascii="Calibri" w:hAnsi="Calibri"/>
                <w:sz w:val="21"/>
              </w:rPr>
              <w:t>Bars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EDC56F1">
            <w:pPr>
              <w:spacing w:after="0"/>
            </w:pPr>
            <w:r>
              <w:rPr>
                <w:rFonts w:ascii="Calibri" w:hAnsi="Calibri"/>
                <w:sz w:val="21"/>
              </w:rPr>
              <w:t>Identify/filter the Daily timeframe using existing schema conventions.</w:t>
            </w:r>
          </w:p>
        </w:tc>
      </w:tr>
      <w:tr w14:paraId="748D6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85CC51A">
            <w:pPr>
              <w:spacing w:after="0"/>
            </w:pPr>
            <w:r>
              <w:rPr>
                <w:rFonts w:ascii="Calibri" w:hAnsi="Calibri"/>
                <w:sz w:val="21"/>
              </w:rPr>
              <w:t>Dates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8CBE074">
            <w:pPr>
              <w:spacing w:after="0"/>
            </w:pPr>
            <w:r>
              <w:rPr>
                <w:rFonts w:ascii="Calibri" w:hAnsi="Calibri"/>
                <w:sz w:val="21"/>
              </w:rPr>
              <w:t>Dates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ACB14F6">
            <w:pPr>
              <w:spacing w:after="0"/>
            </w:pPr>
            <w:r>
              <w:rPr>
                <w:rFonts w:ascii="Calibri" w:hAnsi="Calibri"/>
                <w:sz w:val="21"/>
              </w:rPr>
              <w:t>Map trading dates and order daily candles.</w:t>
            </w:r>
          </w:p>
        </w:tc>
      </w:tr>
      <w:tr w14:paraId="0BBB0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C0A1477">
            <w:pPr>
              <w:spacing w:after="0"/>
            </w:pPr>
            <w:r>
              <w:rPr>
                <w:rFonts w:ascii="Calibri" w:hAnsi="Calibri"/>
                <w:sz w:val="21"/>
              </w:rPr>
              <w:t>Symbols</w:t>
            </w:r>
          </w:p>
        </w:tc>
        <w:tc>
          <w:tcPr>
            <w:tcW w:w="361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CEEACA5">
            <w:pPr>
              <w:spacing w:after="0"/>
            </w:pPr>
            <w:r>
              <w:rPr>
                <w:rFonts w:ascii="Calibri" w:hAnsi="Calibri"/>
                <w:sz w:val="21"/>
              </w:rPr>
              <w:t>Symbols table</w:t>
            </w:r>
          </w:p>
        </w:tc>
        <w:tc>
          <w:tcPr>
            <w:tcW w:w="334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B6F6D07">
            <w:pPr>
              <w:spacing w:after="0"/>
            </w:pPr>
            <w:r>
              <w:rPr>
                <w:rFonts w:ascii="Calibri" w:hAnsi="Calibri"/>
                <w:sz w:val="21"/>
              </w:rPr>
              <w:t>Map symbol identifiers to ticker and exchange.</w:t>
            </w:r>
          </w:p>
        </w:tc>
      </w:tr>
    </w:tbl>
    <w:p w14:paraId="3932556C">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Use the established SQLite joins and filtering conventions in ChartPatternSqliteService.GetSecurityMasterAsync and the existing masterdetail, historical bar, Bars, Dates, and Symbols structures. Do not assume column names beyond the project schema.</w:t>
      </w:r>
    </w:p>
    <w:p w14:paraId="47CDD8DE">
      <w:pPr>
        <w:pStyle w:val="4"/>
        <w:numPr>
          <w:ilvl w:val="0"/>
          <w:numId w:val="1"/>
        </w:numPr>
        <w:rPr>
          <w:rFonts w:hint="default"/>
          <w:lang w:val="en-US"/>
        </w:rPr>
      </w:pPr>
      <w:r>
        <w:rPr>
          <w:rFonts w:hint="default"/>
          <w:lang w:val="en-US"/>
        </w:rPr>
        <w:t>5. Historical Data Requirement</w:t>
      </w:r>
    </w:p>
    <w:p w14:paraId="39F9AE1F">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Two daily candles are required for each security: the candle being evaluated (t) and its immediately preceding daily candle (t-1).</w:t>
      </w:r>
    </w:p>
    <w:p w14:paraId="185AC569">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For EOD mode, retrieve the latest two completed daily candles. For EOD+LiveData mode, retrieve the latest completed daily candle and combine it with the current in-progress daily OHLC values from the existing live-data path.</w:t>
      </w:r>
    </w:p>
    <w:p w14:paraId="024B925E">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No 15-, 30-, or 60-minute interval is required. No additional historical look-back is implied by the supplied rule.</w:t>
      </w:r>
    </w:p>
    <w:p w14:paraId="4971773F">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When scanning an exchange, the screen may process many symbols, but each symbol needs only the two relevant daily candles for a single evaluation.</w:t>
      </w:r>
    </w:p>
    <w:p w14:paraId="416D9959">
      <w:pPr>
        <w:pStyle w:val="4"/>
        <w:numPr>
          <w:ilvl w:val="0"/>
          <w:numId w:val="1"/>
        </w:numPr>
        <w:rPr>
          <w:rFonts w:hint="default"/>
          <w:lang w:val="en-US"/>
        </w:rPr>
      </w:pPr>
      <w:r>
        <w:rPr>
          <w:rFonts w:hint="default"/>
          <w:lang w:val="en-US"/>
        </w:rPr>
        <w:t>6. Computation Logic</w:t>
      </w:r>
    </w:p>
    <w:p w14:paraId="30E3AC4D">
      <w:pPr>
        <w:pStyle w:val="4"/>
        <w:numPr>
          <w:ilvl w:val="0"/>
          <w:numId w:val="1"/>
        </w:numPr>
        <w:rPr>
          <w:rFonts w:hint="default"/>
          <w:lang w:val="en-US"/>
        </w:rPr>
      </w:pPr>
      <w:r>
        <w:rPr>
          <w:rFonts w:hint="default"/>
          <w:lang w:val="en-US"/>
        </w:rPr>
        <w:t>6.1 Candle Definition</w:t>
      </w:r>
    </w:p>
    <w:p w14:paraId="4FAF7E32">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For each security, order daily candles chronologically and select t and t-1. In EOD mode, t is the latest completed daily candle. In EOD+LiveData mode, t is the current daily candle aggregate and t-1 is the preceding completed daily candle.</w:t>
      </w:r>
    </w:p>
    <w:p w14:paraId="34F091C7">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Candle t:     Open[t], High[t], Low[t], Close[t]</w:t>
      </w:r>
    </w:p>
    <w:p w14:paraId="3B06BDDD">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Candle t-1:   Open[t-1], High[t-1], Low[t-1], Close[t-1]</w:t>
      </w:r>
    </w:p>
    <w:p w14:paraId="62F0752E">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For live evaluation, Close[t] represents the latest available traded price at evaluation time; High[t] and Low[t] represent the current session extrema. Use the application daily aggregation and market-data conventions.</w:t>
      </w:r>
    </w:p>
    <w:p w14:paraId="4EFD82F3">
      <w:pPr>
        <w:pStyle w:val="4"/>
        <w:numPr>
          <w:ilvl w:val="0"/>
          <w:numId w:val="1"/>
        </w:numPr>
        <w:rPr>
          <w:rFonts w:hint="default"/>
          <w:lang w:val="en-US"/>
        </w:rPr>
      </w:pPr>
      <w:r>
        <w:rPr>
          <w:rFonts w:hint="default"/>
          <w:lang w:val="en-US"/>
        </w:rPr>
        <w:t>6.2 Outside Range Validation</w:t>
      </w:r>
    </w:p>
    <w:p w14:paraId="63A0B319">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current candle must strictly extend beyond both sides of the previous candle:</w:t>
      </w:r>
    </w:p>
    <w:p w14:paraId="48A40EA7">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High[t] &gt; High[t-1]</w:t>
      </w:r>
    </w:p>
    <w:p w14:paraId="021CFEAA">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AND Low[t] &lt; Low[t-1]</w:t>
      </w:r>
    </w:p>
    <w:p w14:paraId="6AC34ACB">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If either comparison is false, the candidate is not an Outside Bar under the supplied rules.</w:t>
      </w:r>
    </w:p>
    <w:p w14:paraId="50639697">
      <w:pPr>
        <w:pStyle w:val="4"/>
        <w:numPr>
          <w:ilvl w:val="0"/>
          <w:numId w:val="1"/>
        </w:numPr>
        <w:rPr>
          <w:rFonts w:hint="default"/>
          <w:lang w:val="en-US"/>
        </w:rPr>
      </w:pPr>
      <w:r>
        <w:rPr>
          <w:rFonts w:hint="default"/>
          <w:lang w:val="en-US"/>
        </w:rPr>
        <w:t>6.3 Direction Validation</w:t>
      </w:r>
    </w:p>
    <w:p w14:paraId="1062FC2B">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If the Outside Bar range condition is satisfied:</w:t>
      </w:r>
    </w:p>
    <w:p w14:paraId="5CE0AE3F">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Close[t] &gt; Open[t]  =&gt; Bullish Outside Bar</w:t>
      </w:r>
    </w:p>
    <w:p w14:paraId="6E561803">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Close[t] &lt; Open[t]  =&gt; Bearish Outside Bar</w:t>
      </w:r>
    </w:p>
    <w:p w14:paraId="044A77FB">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If Close[t] = Open[t], neither supplied directional rule matches; report no detected bullish or bearish pattern.</w:t>
      </w:r>
    </w:p>
    <w:p w14:paraId="535943DE">
      <w:pPr>
        <w:pStyle w:val="4"/>
        <w:numPr>
          <w:ilvl w:val="0"/>
          <w:numId w:val="1"/>
        </w:numPr>
        <w:rPr>
          <w:rFonts w:hint="default"/>
          <w:lang w:val="en-US"/>
        </w:rPr>
      </w:pPr>
      <w:r>
        <w:rPr>
          <w:rFonts w:hint="default"/>
          <w:lang w:val="en-US"/>
        </w:rPr>
        <w:t>7. Bullish Outside Bar Detection</w:t>
      </w:r>
    </w:p>
    <w:p w14:paraId="25E337C9">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system should perform the following steps:</w:t>
      </w:r>
    </w:p>
    <w:p w14:paraId="0598339F">
      <w:pPr>
        <w:pStyle w:val="4"/>
        <w:numPr>
          <w:ilvl w:val="0"/>
          <w:numId w:val="1"/>
        </w:numPr>
        <w:rPr>
          <w:rFonts w:hint="default"/>
          <w:lang w:val="en-US"/>
        </w:rPr>
      </w:pPr>
      <w:r>
        <w:rPr>
          <w:rFonts w:hint="default"/>
          <w:lang w:val="en-US"/>
        </w:rPr>
        <w:t>Step 1</w:t>
      </w:r>
    </w:p>
    <w:p w14:paraId="2C2021DC">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Load the two daily candles t and t-1 for the selected evaluation mode.</w:t>
      </w:r>
    </w:p>
    <w:p w14:paraId="76067EB1">
      <w:pPr>
        <w:pStyle w:val="4"/>
        <w:numPr>
          <w:ilvl w:val="0"/>
          <w:numId w:val="1"/>
        </w:numPr>
        <w:rPr>
          <w:rFonts w:hint="default"/>
          <w:lang w:val="en-US"/>
        </w:rPr>
      </w:pPr>
      <w:r>
        <w:rPr>
          <w:rFonts w:hint="default"/>
          <w:lang w:val="en-US"/>
        </w:rPr>
        <w:t>Step 2</w:t>
      </w:r>
    </w:p>
    <w:p w14:paraId="2AB70EDB">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Verify that High[t] &gt; High[t-1] and Low[t] &lt; Low[t-1].</w:t>
      </w:r>
    </w:p>
    <w:p w14:paraId="07F9615A">
      <w:pPr>
        <w:pStyle w:val="4"/>
        <w:numPr>
          <w:ilvl w:val="0"/>
          <w:numId w:val="1"/>
        </w:numPr>
        <w:rPr>
          <w:rFonts w:hint="default"/>
          <w:lang w:val="en-US"/>
        </w:rPr>
      </w:pPr>
      <w:r>
        <w:rPr>
          <w:rFonts w:hint="default"/>
          <w:lang w:val="en-US"/>
        </w:rPr>
        <w:t>Step 3</w:t>
      </w:r>
    </w:p>
    <w:p w14:paraId="20CDCF94">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Verify that Close[t] &gt; Open[t].</w:t>
      </w:r>
    </w:p>
    <w:p w14:paraId="798A50A4">
      <w:pPr>
        <w:pStyle w:val="4"/>
        <w:numPr>
          <w:ilvl w:val="0"/>
          <w:numId w:val="1"/>
        </w:numPr>
        <w:rPr>
          <w:rFonts w:hint="default"/>
          <w:lang w:val="en-US"/>
        </w:rPr>
      </w:pPr>
      <w:r>
        <w:rPr>
          <w:rFonts w:hint="default"/>
          <w:lang w:val="en-US"/>
        </w:rPr>
        <w:t>Result</w:t>
      </w:r>
    </w:p>
    <w:p w14:paraId="4941D4F6">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If all three comparisons are true:</w:t>
      </w:r>
    </w:p>
    <w:p w14:paraId="0C87CA23">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PatternType = Bullish Outside Bar</w:t>
      </w:r>
    </w:p>
    <w:p w14:paraId="339C09AA">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Direction = Bullish</w:t>
      </w:r>
    </w:p>
    <w:p w14:paraId="0B71B9C2">
      <w:pPr>
        <w:pStyle w:val="4"/>
        <w:numPr>
          <w:ilvl w:val="0"/>
          <w:numId w:val="1"/>
        </w:numPr>
        <w:rPr>
          <w:rFonts w:hint="default"/>
          <w:lang w:val="en-US"/>
        </w:rPr>
      </w:pPr>
      <w:r>
        <w:rPr>
          <w:rFonts w:hint="default"/>
          <w:lang w:val="en-US"/>
        </w:rPr>
        <w:t>8. Bearish Outside Bar Detection</w:t>
      </w:r>
    </w:p>
    <w:p w14:paraId="7BDE193A">
      <w:pPr>
        <w:pStyle w:val="4"/>
        <w:numPr>
          <w:ilvl w:val="0"/>
          <w:numId w:val="1"/>
        </w:numPr>
        <w:rPr>
          <w:rFonts w:hint="default"/>
          <w:lang w:val="en-US"/>
        </w:rPr>
      </w:pPr>
      <w:r>
        <w:rPr>
          <w:rFonts w:hint="default"/>
          <w:lang w:val="en-US"/>
        </w:rPr>
        <w:t>Step 1</w:t>
      </w:r>
    </w:p>
    <w:p w14:paraId="428BA00D">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Load the two daily candles t and t-1 for the selected evaluation mode.</w:t>
      </w:r>
    </w:p>
    <w:p w14:paraId="159602CA">
      <w:pPr>
        <w:pStyle w:val="4"/>
        <w:numPr>
          <w:ilvl w:val="0"/>
          <w:numId w:val="1"/>
        </w:numPr>
        <w:rPr>
          <w:rFonts w:hint="default"/>
          <w:lang w:val="en-US"/>
        </w:rPr>
      </w:pPr>
      <w:r>
        <w:rPr>
          <w:rFonts w:hint="default"/>
          <w:lang w:val="en-US"/>
        </w:rPr>
        <w:t>Step 2</w:t>
      </w:r>
    </w:p>
    <w:p w14:paraId="20CD199F">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Verify that High[t] &gt; High[t-1] and Low[t] &lt; Low[t-1].</w:t>
      </w:r>
    </w:p>
    <w:p w14:paraId="25AD37CD">
      <w:pPr>
        <w:pStyle w:val="4"/>
        <w:numPr>
          <w:ilvl w:val="0"/>
          <w:numId w:val="1"/>
        </w:numPr>
        <w:rPr>
          <w:rFonts w:hint="default"/>
          <w:lang w:val="en-US"/>
        </w:rPr>
      </w:pPr>
      <w:r>
        <w:rPr>
          <w:rFonts w:hint="default"/>
          <w:lang w:val="en-US"/>
        </w:rPr>
        <w:t>Step 3</w:t>
      </w:r>
    </w:p>
    <w:p w14:paraId="3B794ABA">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Verify that Close[t] &lt; Open[t].</w:t>
      </w:r>
    </w:p>
    <w:p w14:paraId="5A67DD77">
      <w:pPr>
        <w:pStyle w:val="4"/>
        <w:numPr>
          <w:ilvl w:val="0"/>
          <w:numId w:val="1"/>
        </w:numPr>
        <w:rPr>
          <w:rFonts w:hint="default"/>
          <w:lang w:val="en-US"/>
        </w:rPr>
      </w:pPr>
      <w:r>
        <w:rPr>
          <w:rFonts w:hint="default"/>
          <w:lang w:val="en-US"/>
        </w:rPr>
        <w:t>Result</w:t>
      </w:r>
    </w:p>
    <w:p w14:paraId="432D4541">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If all three comparisons are true:</w:t>
      </w:r>
    </w:p>
    <w:p w14:paraId="4E0766F8">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PatternType = Bearish Outside Bar</w:t>
      </w:r>
    </w:p>
    <w:p w14:paraId="38CD8B5A">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Direction = Bearish</w:t>
      </w:r>
    </w:p>
    <w:p w14:paraId="05399B1D">
      <w:pPr>
        <w:pStyle w:val="4"/>
        <w:numPr>
          <w:ilvl w:val="0"/>
          <w:numId w:val="1"/>
        </w:numPr>
        <w:rPr>
          <w:rFonts w:hint="default"/>
          <w:lang w:val="en-US"/>
        </w:rPr>
      </w:pPr>
      <w:r>
        <w:rPr>
          <w:rFonts w:hint="default"/>
          <w:lang w:val="en-US"/>
        </w:rPr>
        <w:t>9. Complete Detection Logic</w:t>
      </w:r>
    </w:p>
    <w:p w14:paraId="44D37DF3">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Bullish Outside Bar:</w:t>
      </w:r>
    </w:p>
    <w:p w14:paraId="79C6A4CA">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High[t] &gt; High[t-1]</w:t>
      </w:r>
    </w:p>
    <w:p w14:paraId="1583ED42">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AND Low[t] &lt; Low[t-1]</w:t>
      </w:r>
    </w:p>
    <w:p w14:paraId="35815B60">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AND Close[t] &gt; Open[t]</w:t>
      </w:r>
    </w:p>
    <w:p w14:paraId="7A4E6E17">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Bearish Outside Bar:</w:t>
      </w:r>
    </w:p>
    <w:p w14:paraId="44DA4B70">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High[t] &gt; High[t-1]</w:t>
      </w:r>
    </w:p>
    <w:p w14:paraId="4A09BB2D">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AND Low[t] &lt; Low[t-1]</w:t>
      </w:r>
    </w:p>
    <w:p w14:paraId="6D5A1DDE">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AND Close[t] &lt; Open[t]</w:t>
      </w:r>
    </w:p>
    <w:p w14:paraId="505B492E">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The look-back is two daily candles, not two candles before t: one current/evaluated candle and one immediately preceding candle. The supplied rules do not include a trend filter, volume filter, minimum range, or breakout requirement.</w:t>
      </w:r>
    </w:p>
    <w:p w14:paraId="153B3730">
      <w:pPr>
        <w:pStyle w:val="4"/>
        <w:numPr>
          <w:ilvl w:val="0"/>
          <w:numId w:val="1"/>
        </w:numPr>
        <w:rPr>
          <w:rFonts w:hint="default"/>
          <w:lang w:val="en-US"/>
        </w:rPr>
      </w:pPr>
      <w:r>
        <w:rPr>
          <w:rFonts w:hint="default"/>
          <w:lang w:val="en-US"/>
        </w:rPr>
        <w:t>10. Processing Flow</w:t>
      </w:r>
    </w:p>
    <w:p w14:paraId="1650F4C6">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Request</w:t>
      </w:r>
    </w:p>
    <w:p w14:paraId="21BFDB80">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w:t>
      </w:r>
    </w:p>
    <w:p w14:paraId="2086AA5D">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 Exchange</w:t>
      </w:r>
    </w:p>
    <w:p w14:paraId="09258179">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 Ticker (optional)</w:t>
      </w:r>
    </w:p>
    <w:p w14:paraId="2D067315">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 Evaluation mode (EOD or EOD+LiveData)</w:t>
      </w:r>
    </w:p>
    <w:p w14:paraId="4F3537D8">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w:t>
      </w:r>
    </w:p>
    <w:p w14:paraId="2E3D4FDA">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w:t>
      </w:r>
    </w:p>
    <w:p w14:paraId="14EE947A">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Validate request</w:t>
      </w:r>
    </w:p>
    <w:p w14:paraId="2EE676AF">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w:t>
      </w:r>
    </w:p>
    <w:p w14:paraId="54289C92">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w:t>
      </w:r>
    </w:p>
    <w:p w14:paraId="5A0613C4">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Resolve security master</w:t>
      </w:r>
    </w:p>
    <w:p w14:paraId="2F4CE21A">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w:t>
      </w:r>
    </w:p>
    <w:p w14:paraId="71209F64">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w:t>
      </w:r>
    </w:p>
    <w:p w14:paraId="136EF37C">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Load two daily candles (t and t-1)</w:t>
      </w:r>
    </w:p>
    <w:p w14:paraId="4A5D0843">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w:t>
      </w:r>
    </w:p>
    <w:p w14:paraId="408CB39D">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w:t>
      </w:r>
    </w:p>
    <w:p w14:paraId="1703DAE1">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Select completed EOD candle or current live daily candle as t</w:t>
      </w:r>
    </w:p>
    <w:p w14:paraId="17C84F6C">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w:t>
      </w:r>
    </w:p>
    <w:p w14:paraId="185D57FF">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w:t>
      </w:r>
    </w:p>
    <w:p w14:paraId="34E95F0E">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Check High[t] &gt; High[t-1] AND Low[t] &lt; Low[t-1]</w:t>
      </w:r>
    </w:p>
    <w:p w14:paraId="1B5B66BD">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w:t>
      </w:r>
    </w:p>
    <w:p w14:paraId="04CCECFB">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w:t>
      </w:r>
    </w:p>
    <w:p w14:paraId="64AACBFB">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                               |</w:t>
      </w:r>
    </w:p>
    <w:p w14:paraId="4D71E84C">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Close[t] &gt; Open[t]           Close[t] &lt; Open[t]</w:t>
      </w:r>
    </w:p>
    <w:p w14:paraId="489B510A">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Bullish Outside Bar           Bearish Outside Bar</w:t>
      </w:r>
    </w:p>
    <w:p w14:paraId="68DD8C61">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                               |</w:t>
      </w:r>
    </w:p>
    <w:p w14:paraId="537F0400">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w:t>
      </w:r>
    </w:p>
    <w:p w14:paraId="6CDA2E0D">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w:t>
      </w:r>
    </w:p>
    <w:p w14:paraId="0C6164F9">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w:t>
      </w:r>
    </w:p>
    <w:p w14:paraId="2275E3BA">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Response</w:t>
      </w:r>
    </w:p>
    <w:p w14:paraId="1159CAF1">
      <w:pPr>
        <w:pStyle w:val="4"/>
        <w:numPr>
          <w:ilvl w:val="0"/>
          <w:numId w:val="1"/>
        </w:numPr>
        <w:rPr>
          <w:rFonts w:hint="default"/>
          <w:lang w:val="en-US"/>
        </w:rPr>
      </w:pPr>
      <w:r>
        <w:rPr>
          <w:rFonts w:hint="default"/>
          <w:lang w:val="en-US"/>
        </w:rPr>
        <w:t>11. Edge Cases</w:t>
      </w:r>
    </w:p>
    <w:tbl>
      <w:tblPr>
        <w:tblStyle w:val="12"/>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70"/>
        <w:gridCol w:w="5959"/>
      </w:tblGrid>
      <w:tr w14:paraId="3F59F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70"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781FA48">
            <w:pPr>
              <w:spacing w:after="0"/>
            </w:pPr>
            <w:r>
              <w:rPr>
                <w:rFonts w:ascii="Calibri" w:hAnsi="Calibri"/>
                <w:b/>
                <w:sz w:val="21"/>
              </w:rPr>
              <w:t>Scenario</w:t>
            </w:r>
          </w:p>
        </w:tc>
        <w:tc>
          <w:tcPr>
            <w:tcW w:w="5959"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1E23E15">
            <w:pPr>
              <w:spacing w:after="0"/>
            </w:pPr>
            <w:r>
              <w:rPr>
                <w:rFonts w:ascii="Calibri" w:hAnsi="Calibri"/>
                <w:b/>
                <w:sz w:val="21"/>
              </w:rPr>
              <w:t>Expected Behavior</w:t>
            </w:r>
          </w:p>
        </w:tc>
      </w:tr>
      <w:tr w14:paraId="0FDD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AB5C57E">
            <w:pPr>
              <w:spacing w:after="0"/>
            </w:pPr>
            <w:r>
              <w:rPr>
                <w:rFonts w:ascii="Calibri" w:hAnsi="Calibri"/>
                <w:sz w:val="21"/>
              </w:rPr>
              <w:t>Fewer than 2 daily candles</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2B3202F">
            <w:pPr>
              <w:spacing w:after="0"/>
            </w:pPr>
            <w:r>
              <w:rPr>
                <w:rFonts w:ascii="Calibri" w:hAnsi="Calibri"/>
                <w:sz w:val="21"/>
              </w:rPr>
              <w:t>Do not evaluate; use established insufficient-data behavior.</w:t>
            </w:r>
          </w:p>
        </w:tc>
      </w:tr>
      <w:tr w14:paraId="760A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680CF55">
            <w:pPr>
              <w:spacing w:after="0"/>
            </w:pPr>
            <w:r>
              <w:rPr>
                <w:rFonts w:ascii="Calibri" w:hAnsi="Calibri"/>
                <w:sz w:val="21"/>
              </w:rPr>
              <w:t>High[t] equals High[t-1]</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175CA5C">
            <w:pPr>
              <w:spacing w:after="0"/>
            </w:pPr>
            <w:r>
              <w:rPr>
                <w:rFonts w:ascii="Calibri" w:hAnsi="Calibri"/>
                <w:sz w:val="21"/>
              </w:rPr>
              <w:t>Outside range condition fails because comparison is strict.</w:t>
            </w:r>
          </w:p>
        </w:tc>
      </w:tr>
      <w:tr w14:paraId="3E9A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17A4BF1">
            <w:pPr>
              <w:spacing w:after="0"/>
            </w:pPr>
            <w:r>
              <w:rPr>
                <w:rFonts w:ascii="Calibri" w:hAnsi="Calibri"/>
                <w:sz w:val="21"/>
              </w:rPr>
              <w:t>Low[t] equals Low[t-1]</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8B62287">
            <w:pPr>
              <w:spacing w:after="0"/>
            </w:pPr>
            <w:r>
              <w:rPr>
                <w:rFonts w:ascii="Calibri" w:hAnsi="Calibri"/>
                <w:sz w:val="21"/>
              </w:rPr>
              <w:t>Outside range condition fails because comparison is strict.</w:t>
            </w:r>
          </w:p>
        </w:tc>
      </w:tr>
      <w:tr w14:paraId="0963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3304D53">
            <w:pPr>
              <w:spacing w:after="0"/>
            </w:pPr>
            <w:r>
              <w:rPr>
                <w:rFonts w:ascii="Calibri" w:hAnsi="Calibri"/>
                <w:sz w:val="21"/>
              </w:rPr>
              <w:t>Current candle exceeds only one side</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D73D40E">
            <w:pPr>
              <w:spacing w:after="0"/>
            </w:pPr>
            <w:r>
              <w:rPr>
                <w:rFonts w:ascii="Calibri" w:hAnsi="Calibri"/>
                <w:sz w:val="21"/>
              </w:rPr>
              <w:t>Pattern not detected.</w:t>
            </w:r>
          </w:p>
        </w:tc>
      </w:tr>
      <w:tr w14:paraId="7227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F9BF3A3">
            <w:pPr>
              <w:spacing w:after="0"/>
            </w:pPr>
            <w:r>
              <w:rPr>
                <w:rFonts w:ascii="Calibri" w:hAnsi="Calibri"/>
                <w:sz w:val="21"/>
              </w:rPr>
              <w:t>Close[t] equals Open[t]</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CEC6708">
            <w:pPr>
              <w:spacing w:after="0"/>
            </w:pPr>
            <w:r>
              <w:rPr>
                <w:rFonts w:ascii="Calibri" w:hAnsi="Calibri"/>
                <w:sz w:val="21"/>
              </w:rPr>
              <w:t>Neither bullish nor bearish condition matches.</w:t>
            </w:r>
          </w:p>
        </w:tc>
      </w:tr>
      <w:tr w14:paraId="7927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C3EA322">
            <w:pPr>
              <w:spacing w:after="0"/>
            </w:pPr>
            <w:r>
              <w:rPr>
                <w:rFonts w:ascii="Calibri" w:hAnsi="Calibri"/>
                <w:sz w:val="21"/>
              </w:rPr>
              <w:t>Live candle no longer satisfies condition</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BE65EB8">
            <w:pPr>
              <w:spacing w:after="0"/>
            </w:pPr>
            <w:r>
              <w:rPr>
                <w:rFonts w:ascii="Calibri" w:hAnsi="Calibri"/>
                <w:sz w:val="21"/>
              </w:rPr>
              <w:t>Remove/update provisional signal according to live-alert conventions.</w:t>
            </w:r>
          </w:p>
        </w:tc>
      </w:tr>
      <w:tr w14:paraId="6230E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0279E2F">
            <w:pPr>
              <w:spacing w:after="0"/>
            </w:pPr>
            <w:r>
              <w:rPr>
                <w:rFonts w:ascii="Calibri" w:hAnsi="Calibri"/>
                <w:sz w:val="21"/>
              </w:rPr>
              <w:t>Live market data unavailable</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BBACB6E">
            <w:pPr>
              <w:spacing w:after="0"/>
            </w:pPr>
            <w:r>
              <w:rPr>
                <w:rFonts w:ascii="Calibri" w:hAnsi="Calibri"/>
                <w:sz w:val="21"/>
              </w:rPr>
              <w:t>Fall back to EOD only if requested mode/API policy allows; otherwise return data unavailable.</w:t>
            </w:r>
          </w:p>
        </w:tc>
      </w:tr>
      <w:tr w14:paraId="6A9A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5BFD0A0">
            <w:pPr>
              <w:spacing w:after="0"/>
            </w:pPr>
            <w:r>
              <w:rPr>
                <w:rFonts w:ascii="Calibri" w:hAnsi="Calibri"/>
                <w:sz w:val="21"/>
              </w:rPr>
              <w:t>Invalid or missing OHLC/date</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C0E7429">
            <w:pPr>
              <w:spacing w:after="0"/>
            </w:pPr>
            <w:r>
              <w:rPr>
                <w:rFonts w:ascii="Calibri" w:hAnsi="Calibri"/>
                <w:sz w:val="21"/>
              </w:rPr>
              <w:t>Do not evaluate that pair; follow existing data-quality conventions.</w:t>
            </w:r>
          </w:p>
        </w:tc>
      </w:tr>
      <w:tr w14:paraId="1129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DCEB360">
            <w:pPr>
              <w:spacing w:after="0"/>
            </w:pPr>
            <w:r>
              <w:rPr>
                <w:rFonts w:ascii="Calibri" w:hAnsi="Calibri"/>
                <w:sz w:val="21"/>
              </w:rPr>
              <w:t>No historical data</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A117904">
            <w:pPr>
              <w:spacing w:after="0"/>
            </w:pPr>
            <w:r>
              <w:rPr>
                <w:rFonts w:ascii="Calibri" w:hAnsi="Calibri"/>
                <w:sz w:val="21"/>
              </w:rPr>
              <w:t>Return data unavailable according to API conventions.</w:t>
            </w:r>
          </w:p>
        </w:tc>
      </w:tr>
      <w:tr w14:paraId="626B3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46D4D4F">
            <w:pPr>
              <w:spacing w:after="0"/>
            </w:pPr>
            <w:r>
              <w:rPr>
                <w:rFonts w:ascii="Calibri" w:hAnsi="Calibri"/>
                <w:sz w:val="21"/>
              </w:rPr>
              <w:t>Invalid ticker or exchange</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87BF7E9">
            <w:pPr>
              <w:spacing w:after="0"/>
            </w:pPr>
            <w:r>
              <w:rPr>
                <w:rFonts w:ascii="Calibri" w:hAnsi="Calibri"/>
                <w:sz w:val="21"/>
              </w:rPr>
              <w:t>Return established not-found or validation response.</w:t>
            </w:r>
          </w:p>
        </w:tc>
      </w:tr>
      <w:tr w14:paraId="69EC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365DFF7">
            <w:pPr>
              <w:spacing w:after="0"/>
            </w:pPr>
            <w:r>
              <w:rPr>
                <w:rFonts w:ascii="Calibri" w:hAnsi="Calibri"/>
                <w:sz w:val="21"/>
              </w:rPr>
              <w:t>SQLite/database failure</w:t>
            </w:r>
          </w:p>
        </w:tc>
        <w:tc>
          <w:tcPr>
            <w:tcW w:w="595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8F5F8A6">
            <w:pPr>
              <w:spacing w:after="0"/>
            </w:pPr>
            <w:r>
              <w:rPr>
                <w:rFonts w:ascii="Calibri" w:hAnsi="Calibri"/>
                <w:sz w:val="21"/>
              </w:rPr>
              <w:t>Log the failure and return a generic server error.</w:t>
            </w:r>
          </w:p>
        </w:tc>
      </w:tr>
    </w:tbl>
    <w:p w14:paraId="6CD72FC4">
      <w:pPr>
        <w:pStyle w:val="4"/>
        <w:numPr>
          <w:ilvl w:val="0"/>
          <w:numId w:val="1"/>
        </w:numPr>
        <w:rPr>
          <w:rFonts w:hint="default"/>
          <w:lang w:val="en-US"/>
        </w:rPr>
      </w:pPr>
      <w:r>
        <w:rPr>
          <w:rFonts w:hint="default"/>
          <w:lang w:val="en-US"/>
        </w:rPr>
        <w:t>12. Logging</w:t>
      </w:r>
    </w:p>
    <w:tbl>
      <w:tblPr>
        <w:tblStyle w:val="12"/>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45"/>
        <w:gridCol w:w="3431"/>
        <w:gridCol w:w="4153"/>
      </w:tblGrid>
      <w:tr w14:paraId="6164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885C0C1">
            <w:pPr>
              <w:spacing w:after="0"/>
            </w:pPr>
            <w:r>
              <w:rPr>
                <w:rFonts w:ascii="Calibri" w:hAnsi="Calibri"/>
                <w:b/>
                <w:sz w:val="21"/>
              </w:rPr>
              <w:t>Level</w:t>
            </w:r>
          </w:p>
        </w:tc>
        <w:tc>
          <w:tcPr>
            <w:tcW w:w="343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1092DDDE">
            <w:pPr>
              <w:spacing w:after="0"/>
            </w:pPr>
            <w:r>
              <w:rPr>
                <w:rFonts w:ascii="Calibri" w:hAnsi="Calibri"/>
                <w:b/>
                <w:sz w:val="21"/>
              </w:rPr>
              <w:t>Event</w:t>
            </w:r>
          </w:p>
        </w:tc>
        <w:tc>
          <w:tcPr>
            <w:tcW w:w="4153"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6709045">
            <w:pPr>
              <w:spacing w:after="0"/>
            </w:pPr>
            <w:r>
              <w:rPr>
                <w:rFonts w:ascii="Calibri" w:hAnsi="Calibri"/>
                <w:b/>
                <w:sz w:val="21"/>
              </w:rPr>
              <w:t>Key Identifiers</w:t>
            </w:r>
          </w:p>
        </w:tc>
      </w:tr>
      <w:tr w14:paraId="4B560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210C627">
            <w:pPr>
              <w:spacing w:after="0"/>
            </w:pPr>
            <w:r>
              <w:rPr>
                <w:rFonts w:ascii="Calibri" w:hAnsi="Calibri"/>
                <w:sz w:val="21"/>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F780538">
            <w:pPr>
              <w:spacing w:after="0"/>
            </w:pPr>
            <w:r>
              <w:rPr>
                <w:rFonts w:ascii="Calibri" w:hAnsi="Calibri"/>
                <w:sz w:val="21"/>
              </w:rPr>
              <w:t>Outside Bar analysis started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6875A69">
            <w:pPr>
              <w:spacing w:after="0"/>
            </w:pPr>
            <w:r>
              <w:rPr>
                <w:rFonts w:ascii="Calibri" w:hAnsi="Calibri"/>
                <w:sz w:val="21"/>
              </w:rPr>
              <w:t>Exchange, ticker, evaluation mode.</w:t>
            </w:r>
          </w:p>
        </w:tc>
      </w:tr>
      <w:tr w14:paraId="05FE7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C50AAFB">
            <w:pPr>
              <w:spacing w:after="0"/>
            </w:pPr>
            <w:r>
              <w:rPr>
                <w:rFonts w:ascii="Calibri" w:hAnsi="Calibri"/>
                <w:sz w:val="21"/>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C8603A5">
            <w:pPr>
              <w:spacing w:after="0"/>
            </w:pPr>
            <w:r>
              <w:rPr>
                <w:rFonts w:ascii="Calibri" w:hAnsi="Calibri"/>
                <w:sz w:val="21"/>
              </w:rPr>
              <w:t>Daily candles retrieved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3ED4956">
            <w:pPr>
              <w:spacing w:after="0"/>
            </w:pPr>
            <w:r>
              <w:rPr>
                <w:rFonts w:ascii="Calibri" w:hAnsi="Calibri"/>
                <w:sz w:val="21"/>
              </w:rPr>
              <w:t>Ticker, t date, t-1 date, data mode.</w:t>
            </w:r>
          </w:p>
        </w:tc>
      </w:tr>
      <w:tr w14:paraId="7F975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F5375DF">
            <w:pPr>
              <w:spacing w:after="0"/>
            </w:pPr>
            <w:r>
              <w:rPr>
                <w:rFonts w:ascii="Calibri" w:hAnsi="Calibri"/>
                <w:sz w:val="21"/>
              </w:rPr>
              <w:t>Debug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53B3E75">
            <w:pPr>
              <w:spacing w:after="0"/>
            </w:pPr>
            <w:r>
              <w:rPr>
                <w:rFonts w:ascii="Calibri" w:hAnsi="Calibri"/>
                <w:sz w:val="21"/>
              </w:rPr>
              <w:t>Outside range evaluated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890BE36">
            <w:pPr>
              <w:spacing w:after="0"/>
            </w:pPr>
            <w:r>
              <w:rPr>
                <w:rFonts w:ascii="Calibri" w:hAnsi="Calibri"/>
                <w:sz w:val="21"/>
              </w:rPr>
              <w:t>Current/previous highs and lows, result.</w:t>
            </w:r>
          </w:p>
        </w:tc>
      </w:tr>
      <w:tr w14:paraId="6177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9F18B56">
            <w:pPr>
              <w:spacing w:after="0"/>
            </w:pPr>
            <w:r>
              <w:rPr>
                <w:rFonts w:ascii="Calibri" w:hAnsi="Calibri"/>
                <w:sz w:val="21"/>
              </w:rPr>
              <w:t>Debug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F38FB9D">
            <w:pPr>
              <w:spacing w:after="0"/>
            </w:pPr>
            <w:r>
              <w:rPr>
                <w:rFonts w:ascii="Calibri" w:hAnsi="Calibri"/>
                <w:sz w:val="21"/>
              </w:rPr>
              <w:t>Direction evaluated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0FDD454">
            <w:pPr>
              <w:spacing w:after="0"/>
            </w:pPr>
            <w:r>
              <w:rPr>
                <w:rFonts w:ascii="Calibri" w:hAnsi="Calibri"/>
                <w:sz w:val="21"/>
              </w:rPr>
              <w:t>Open, close, direction result.</w:t>
            </w:r>
          </w:p>
        </w:tc>
      </w:tr>
      <w:tr w14:paraId="1373E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0A5E0E0">
            <w:pPr>
              <w:spacing w:after="0"/>
            </w:pPr>
            <w:r>
              <w:rPr>
                <w:rFonts w:ascii="Calibri" w:hAnsi="Calibri"/>
                <w:sz w:val="21"/>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02F7E31">
            <w:pPr>
              <w:spacing w:after="0"/>
            </w:pPr>
            <w:r>
              <w:rPr>
                <w:rFonts w:ascii="Calibri" w:hAnsi="Calibri"/>
                <w:sz w:val="21"/>
              </w:rPr>
              <w:t>Outside Bar detected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A1ED537">
            <w:pPr>
              <w:spacing w:after="0"/>
            </w:pPr>
            <w:r>
              <w:rPr>
                <w:rFonts w:ascii="Calibri" w:hAnsi="Calibri"/>
                <w:sz w:val="21"/>
              </w:rPr>
              <w:t>Exchange, ticker, pattern type, candle date, mode.</w:t>
            </w:r>
          </w:p>
        </w:tc>
      </w:tr>
      <w:tr w14:paraId="40A9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364FB11">
            <w:pPr>
              <w:spacing w:after="0"/>
            </w:pPr>
            <w:r>
              <w:rPr>
                <w:rFonts w:ascii="Calibri" w:hAnsi="Calibri"/>
                <w:sz w:val="21"/>
              </w:rPr>
              <w:t>Information</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AEB1025">
            <w:pPr>
              <w:spacing w:after="0"/>
            </w:pPr>
            <w:r>
              <w:rPr>
                <w:rFonts w:ascii="Calibri" w:hAnsi="Calibri"/>
                <w:sz w:val="21"/>
              </w:rPr>
              <w:t>No Outside Bar detected</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4AC0F6B">
            <w:pPr>
              <w:spacing w:after="0"/>
            </w:pPr>
            <w:r>
              <w:rPr>
                <w:rFonts w:ascii="Calibri" w:hAnsi="Calibri"/>
                <w:sz w:val="21"/>
              </w:rPr>
              <w:t>Exchange, ticker, candle date, mode.</w:t>
            </w:r>
          </w:p>
        </w:tc>
      </w:tr>
      <w:tr w14:paraId="57239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004D2B7">
            <w:pPr>
              <w:spacing w:after="0"/>
            </w:pPr>
            <w:r>
              <w:rPr>
                <w:rFonts w:ascii="Calibri" w:hAnsi="Calibri"/>
                <w:sz w:val="21"/>
              </w:rPr>
              <w:t>Warning</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4E81DC1">
            <w:pPr>
              <w:spacing w:after="0"/>
            </w:pPr>
            <w:r>
              <w:rPr>
                <w:rFonts w:ascii="Calibri" w:hAnsi="Calibri"/>
                <w:sz w:val="21"/>
              </w:rPr>
              <w:t>Insufficient candles or live data unavailable</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F531FA1">
            <w:pPr>
              <w:spacing w:after="0"/>
            </w:pPr>
            <w:r>
              <w:rPr>
                <w:rFonts w:ascii="Calibri" w:hAnsi="Calibri"/>
                <w:sz w:val="21"/>
              </w:rPr>
              <w:t>Exchange, ticker, count/reason.</w:t>
            </w:r>
          </w:p>
        </w:tc>
      </w:tr>
      <w:tr w14:paraId="13748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ED52344">
            <w:pPr>
              <w:spacing w:after="0"/>
            </w:pPr>
            <w:r>
              <w:rPr>
                <w:rFonts w:ascii="Calibri" w:hAnsi="Calibri"/>
                <w:sz w:val="21"/>
              </w:rPr>
              <w:t>Error</w:t>
            </w:r>
          </w:p>
        </w:tc>
        <w:tc>
          <w:tcPr>
            <w:tcW w:w="34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03B5CD9">
            <w:pPr>
              <w:spacing w:after="0"/>
            </w:pPr>
            <w:r>
              <w:rPr>
                <w:rFonts w:ascii="Calibri" w:hAnsi="Calibri"/>
                <w:sz w:val="21"/>
              </w:rPr>
              <w:t>SQLite or unexpected failure</w:t>
            </w:r>
          </w:p>
        </w:tc>
        <w:tc>
          <w:tcPr>
            <w:tcW w:w="41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F8BB6D5">
            <w:pPr>
              <w:spacing w:after="0"/>
            </w:pPr>
            <w:r>
              <w:rPr>
                <w:rFonts w:ascii="Calibri" w:hAnsi="Calibri"/>
                <w:sz w:val="21"/>
              </w:rPr>
              <w:t>Exchange, ticker, exception details.</w:t>
            </w:r>
          </w:p>
        </w:tc>
      </w:tr>
    </w:tbl>
    <w:p w14:paraId="7C2887B3">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Avoid excessive per-tick information-level logs. Use debug logging for detailed live evaluation.</w:t>
      </w:r>
    </w:p>
    <w:p w14:paraId="03F72F6C">
      <w:pPr>
        <w:pStyle w:val="4"/>
        <w:numPr>
          <w:ilvl w:val="0"/>
          <w:numId w:val="1"/>
        </w:numPr>
        <w:rPr>
          <w:rFonts w:hint="default"/>
          <w:lang w:val="en-US"/>
        </w:rPr>
      </w:pPr>
      <w:r>
        <w:rPr>
          <w:rFonts w:hint="default"/>
          <w:lang w:val="en-US"/>
        </w:rPr>
        <w:t>13. Error Handling</w:t>
      </w:r>
    </w:p>
    <w:tbl>
      <w:tblPr>
        <w:tblStyle w:val="12"/>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28"/>
        <w:gridCol w:w="1264"/>
        <w:gridCol w:w="5237"/>
      </w:tblGrid>
      <w:tr w14:paraId="1EAF8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8"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EBC7A4A">
            <w:pPr>
              <w:spacing w:after="0"/>
            </w:pPr>
            <w:r>
              <w:rPr>
                <w:rFonts w:ascii="Calibri" w:hAnsi="Calibri"/>
                <w:b/>
                <w:sz w:val="21"/>
              </w:rPr>
              <w:t>Scenario</w:t>
            </w:r>
          </w:p>
        </w:tc>
        <w:tc>
          <w:tcPr>
            <w:tcW w:w="1264"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555E545">
            <w:pPr>
              <w:spacing w:after="0"/>
            </w:pPr>
            <w:r>
              <w:rPr>
                <w:rFonts w:ascii="Calibri" w:hAnsi="Calibri"/>
                <w:b/>
                <w:sz w:val="21"/>
              </w:rPr>
              <w:t>HTTP Status</w:t>
            </w:r>
          </w:p>
        </w:tc>
        <w:tc>
          <w:tcPr>
            <w:tcW w:w="5237"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262E592C">
            <w:pPr>
              <w:spacing w:after="0"/>
            </w:pPr>
            <w:r>
              <w:rPr>
                <w:rFonts w:ascii="Calibri" w:hAnsi="Calibri"/>
                <w:b/>
                <w:sz w:val="21"/>
              </w:rPr>
              <w:t>Handling</w:t>
            </w:r>
          </w:p>
        </w:tc>
      </w:tr>
      <w:tr w14:paraId="6D28D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83024DF">
            <w:pPr>
              <w:spacing w:after="0"/>
            </w:pPr>
            <w:r>
              <w:rPr>
                <w:rFonts w:ascii="Calibri" w:hAnsi="Calibri"/>
                <w:sz w:val="21"/>
              </w:rPr>
              <w:t>Invalid exchange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F65C430">
            <w:pPr>
              <w:spacing w:after="0"/>
            </w:pPr>
            <w:r>
              <w:rPr>
                <w:rFonts w:ascii="Calibri" w:hAnsi="Calibri"/>
                <w:sz w:val="21"/>
              </w:rPr>
              <w:t>400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543EA23">
            <w:pPr>
              <w:spacing w:after="0"/>
            </w:pPr>
            <w:r>
              <w:rPr>
                <w:rFonts w:ascii="Calibri" w:hAnsi="Calibri"/>
                <w:sz w:val="21"/>
              </w:rPr>
              <w:t>Return validation error using existing error schema.</w:t>
            </w:r>
          </w:p>
        </w:tc>
      </w:tr>
      <w:tr w14:paraId="491D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6947E64">
            <w:pPr>
              <w:spacing w:after="0"/>
            </w:pPr>
            <w:r>
              <w:rPr>
                <w:rFonts w:ascii="Calibri" w:hAnsi="Calibri"/>
                <w:sz w:val="21"/>
              </w:rPr>
              <w:t>Ticker not found</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7A96345">
            <w:pPr>
              <w:spacing w:after="0"/>
            </w:pPr>
            <w:r>
              <w:rPr>
                <w:rFonts w:ascii="Calibri" w:hAnsi="Calibri"/>
                <w:sz w:val="21"/>
              </w:rPr>
              <w:t>404</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F60D4B6">
            <w:pPr>
              <w:spacing w:after="0"/>
            </w:pPr>
            <w:r>
              <w:rPr>
                <w:rFonts w:ascii="Calibri" w:hAnsi="Calibri"/>
                <w:sz w:val="21"/>
              </w:rPr>
              <w:t>Return ticker-not-found response using existing conventions.</w:t>
            </w:r>
          </w:p>
        </w:tc>
      </w:tr>
      <w:tr w14:paraId="09075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E911143">
            <w:pPr>
              <w:spacing w:after="0"/>
            </w:pPr>
            <w:r>
              <w:rPr>
                <w:rFonts w:ascii="Calibri" w:hAnsi="Calibri"/>
                <w:sz w:val="21"/>
              </w:rPr>
              <w:t>Fewer than 2 daily candles</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AF273DA">
            <w:pPr>
              <w:spacing w:after="0"/>
            </w:pPr>
            <w:r>
              <w:rPr>
                <w:rFonts w:ascii="Calibri" w:hAnsi="Calibri"/>
                <w:sz w:val="21"/>
              </w:rPr>
              <w:t>200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1DF83A8">
            <w:pPr>
              <w:spacing w:after="0"/>
            </w:pPr>
            <w:r>
              <w:rPr>
                <w:rFonts w:ascii="Calibri" w:hAnsi="Calibri"/>
                <w:sz w:val="21"/>
              </w:rPr>
              <w:t>Return isPatternDetected=false or established data-status response.</w:t>
            </w:r>
          </w:p>
        </w:tc>
      </w:tr>
      <w:tr w14:paraId="6D6EE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BB56CBF">
            <w:pPr>
              <w:spacing w:after="0"/>
            </w:pPr>
            <w:r>
              <w:rPr>
                <w:rFonts w:ascii="Calibri" w:hAnsi="Calibri"/>
                <w:sz w:val="21"/>
              </w:rPr>
              <w:t>No Outside Bar detected</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1EB8DD5">
            <w:pPr>
              <w:spacing w:after="0"/>
            </w:pPr>
            <w:r>
              <w:rPr>
                <w:rFonts w:ascii="Calibri" w:hAnsi="Calibri"/>
                <w:sz w:val="21"/>
              </w:rPr>
              <w:t>200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88BAAF8">
            <w:pPr>
              <w:spacing w:after="0"/>
            </w:pPr>
            <w:r>
              <w:rPr>
                <w:rFonts w:ascii="Calibri" w:hAnsi="Calibri"/>
                <w:sz w:val="21"/>
              </w:rPr>
              <w:t>Return isPatternDetected=false.</w:t>
            </w:r>
          </w:p>
        </w:tc>
      </w:tr>
      <w:tr w14:paraId="76064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A58366A">
            <w:pPr>
              <w:spacing w:after="0"/>
            </w:pPr>
            <w:r>
              <w:rPr>
                <w:rFonts w:ascii="Calibri" w:hAnsi="Calibri"/>
                <w:sz w:val="21"/>
              </w:rPr>
              <w:t>Live data unavailable in EOD+LiveData mode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0763463">
            <w:pPr>
              <w:spacing w:after="0"/>
            </w:pPr>
            <w:r>
              <w:rPr>
                <w:rFonts w:ascii="Calibri" w:hAnsi="Calibri"/>
                <w:sz w:val="21"/>
              </w:rPr>
              <w:t>200/503</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03C30C4">
            <w:pPr>
              <w:spacing w:after="0"/>
            </w:pPr>
            <w:r>
              <w:rPr>
                <w:rFonts w:ascii="Calibri" w:hAnsi="Calibri"/>
                <w:sz w:val="21"/>
              </w:rPr>
              <w:t>Follow existing market-data availability convention; do not silently mislabel live evaluation as EOD.</w:t>
            </w:r>
          </w:p>
        </w:tc>
      </w:tr>
      <w:tr w14:paraId="13D8C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2191269">
            <w:pPr>
              <w:spacing w:after="0"/>
            </w:pPr>
            <w:r>
              <w:rPr>
                <w:rFonts w:ascii="Calibri" w:hAnsi="Calibri"/>
                <w:sz w:val="21"/>
              </w:rPr>
              <w:t>Historical data unavailable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8FBF0BC">
            <w:pPr>
              <w:spacing w:after="0"/>
            </w:pPr>
            <w:r>
              <w:rPr>
                <w:rFonts w:ascii="Calibri" w:hAnsi="Calibri"/>
                <w:sz w:val="21"/>
              </w:rPr>
              <w:t>404</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19BB59F">
            <w:pPr>
              <w:spacing w:after="0"/>
            </w:pPr>
            <w:r>
              <w:rPr>
                <w:rFonts w:ascii="Calibri" w:hAnsi="Calibri"/>
                <w:sz w:val="21"/>
              </w:rPr>
              <w:t>Return data unavailable, consistent with existing API conventions.</w:t>
            </w:r>
          </w:p>
        </w:tc>
      </w:tr>
      <w:tr w14:paraId="108AC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18CCA49">
            <w:pPr>
              <w:spacing w:after="0"/>
            </w:pPr>
            <w:r>
              <w:rPr>
                <w:rFonts w:ascii="Calibri" w:hAnsi="Calibri"/>
                <w:sz w:val="21"/>
              </w:rPr>
              <w:t>SQLite/database failure</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6655FAF">
            <w:pPr>
              <w:spacing w:after="0"/>
            </w:pPr>
            <w:r>
              <w:rPr>
                <w:rFonts w:ascii="Calibri" w:hAnsi="Calibri"/>
                <w:sz w:val="21"/>
              </w:rPr>
              <w:t>500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FBE9BBF">
            <w:pPr>
              <w:spacing w:after="0"/>
            </w:pPr>
            <w:r>
              <w:rPr>
                <w:rFonts w:ascii="Calibri" w:hAnsi="Calibri"/>
                <w:sz w:val="21"/>
              </w:rPr>
              <w:t>Log exception and return generic error without internal details.</w:t>
            </w:r>
          </w:p>
        </w:tc>
      </w:tr>
      <w:tr w14:paraId="1484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8"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3BD0508">
            <w:pPr>
              <w:spacing w:after="0"/>
            </w:pPr>
            <w:r>
              <w:rPr>
                <w:rFonts w:ascii="Calibri" w:hAnsi="Calibri"/>
                <w:sz w:val="21"/>
              </w:rPr>
              <w:t>Unexpected exception</w:t>
            </w:r>
          </w:p>
        </w:tc>
        <w:tc>
          <w:tcPr>
            <w:tcW w:w="1264"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EB46021">
            <w:pPr>
              <w:spacing w:after="0"/>
            </w:pPr>
            <w:r>
              <w:rPr>
                <w:rFonts w:ascii="Calibri" w:hAnsi="Calibri"/>
                <w:sz w:val="21"/>
              </w:rPr>
              <w:t>500</w:t>
            </w:r>
          </w:p>
        </w:tc>
        <w:tc>
          <w:tcPr>
            <w:tcW w:w="5237"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9BC3A18">
            <w:pPr>
              <w:spacing w:after="0"/>
            </w:pPr>
            <w:r>
              <w:rPr>
                <w:rFonts w:ascii="Calibri" w:hAnsi="Calibri"/>
                <w:sz w:val="21"/>
              </w:rPr>
              <w:t>Log exception and return generic error.</w:t>
            </w:r>
          </w:p>
        </w:tc>
      </w:tr>
    </w:tbl>
    <w:p w14:paraId="649ABB3E">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Use the same error-response structure as existing MarketAlert APIs.</w:t>
      </w:r>
    </w:p>
    <w:p w14:paraId="470EC689">
      <w:pPr>
        <w:pStyle w:val="4"/>
        <w:numPr>
          <w:ilvl w:val="0"/>
          <w:numId w:val="1"/>
        </w:numPr>
        <w:rPr>
          <w:rFonts w:hint="default"/>
          <w:lang w:val="en-US"/>
        </w:rPr>
      </w:pPr>
      <w:r>
        <w:rPr>
          <w:rFonts w:hint="default"/>
          <w:lang w:val="en-US"/>
        </w:rPr>
        <w:t>14. Processing and Mode Notes</w:t>
      </w:r>
    </w:p>
    <w:p w14:paraId="6E02ECA9">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Recommended default: EOD evaluation using the latest completed daily candle. This is the stable mode for a daily pattern screener.</w:t>
      </w:r>
    </w:p>
    <w:p w14:paraId="020B87FA">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Optional EOD+LiveData evaluation can surface a developing signal during the trading session. Mark such results provisional and reevaluate as live OHLC updates. The final EOD result is determined from the completed daily candle.</w:t>
      </w:r>
    </w:p>
    <w:p w14:paraId="47889F05">
      <w:pPr>
        <w:pStyle w:val="15"/>
        <w:keepNext w:val="0"/>
        <w:keepLines w:val="0"/>
        <w:widowControl/>
        <w:suppressLineNumbers w:val="0"/>
        <w:spacing w:before="0" w:beforeAutospacing="1" w:after="0" w:afterAutospacing="1"/>
        <w:ind w:left="0" w:right="0"/>
        <w:rPr>
          <w:rFonts w:hint="default" w:ascii="Calibri" w:hAnsi="Calibri" w:cs="Calibri" w:eastAsiaTheme="minorEastAsia"/>
          <w:sz w:val="21"/>
          <w:szCs w:val="21"/>
        </w:rPr>
      </w:pPr>
      <w:r>
        <w:rPr>
          <w:rFonts w:hint="default" w:ascii="Calibri" w:hAnsi="Calibri" w:cs="Calibri" w:eastAsiaTheme="minorEastAsia"/>
          <w:sz w:val="21"/>
          <w:szCs w:val="21"/>
        </w:rPr>
        <w:t>A live candle is compared with the immediately preceding completed daily candle. Do not compare the live candle to an intraday 15/30/60-minute bar.</w:t>
      </w:r>
    </w:p>
    <w:p w14:paraId="1F6E5D97">
      <w:pPr>
        <w:pStyle w:val="4"/>
        <w:numPr>
          <w:ilvl w:val="0"/>
          <w:numId w:val="1"/>
        </w:numPr>
        <w:rPr>
          <w:rFonts w:hint="default"/>
          <w:lang w:val="en-US"/>
        </w:rPr>
      </w:pPr>
      <w:r>
        <w:rPr>
          <w:rFonts w:hint="default"/>
          <w:lang w:val="en-US"/>
        </w:rPr>
        <w:t>15. Configuration Data</w:t>
      </w:r>
    </w:p>
    <w:p w14:paraId="0AC59EDF">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OutsideBar:</w:t>
      </w:r>
    </w:p>
    <w:p w14:paraId="25DDD9E6">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MinRequiredDailyCandles = 2</w:t>
      </w:r>
    </w:p>
    <w:p w14:paraId="47A7FF74">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EvaluationTimeframe = Daily</w:t>
      </w:r>
    </w:p>
    <w:p w14:paraId="3EE7142E">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EvaluationModes = EOD, EOD+LiveData</w:t>
      </w:r>
    </w:p>
    <w:p w14:paraId="4C3780CF">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RecommendedDefaultMode = EOD</w:t>
      </w:r>
    </w:p>
    <w:p w14:paraId="0F252B8A">
      <w:pPr>
        <w:pStyle w:val="14"/>
        <w:keepNext w:val="0"/>
        <w:keepLines w:val="0"/>
        <w:widowControl/>
        <w:suppressLineNumbers w:val="0"/>
        <w:rPr>
          <w:rFonts w:hint="default" w:ascii="Calibri" w:hAnsi="Calibri" w:cs="Calibri"/>
          <w:sz w:val="20"/>
          <w:szCs w:val="20"/>
        </w:rPr>
      </w:pPr>
      <w:r>
        <w:rPr>
          <w:rStyle w:val="13"/>
          <w:rFonts w:hint="default" w:ascii="Calibri" w:hAnsi="Calibri" w:cs="Calibri"/>
          <w:sz w:val="20"/>
          <w:szCs w:val="20"/>
        </w:rPr>
        <w:t xml:space="preserve">    LiveModeResultStatus = Provisional</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440294"/>
    <w:multiLevelType w:val="singleLevel"/>
    <w:tmpl w:val="6944029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77C"/>
    <w:rsid w:val="001E6BB5"/>
    <w:rsid w:val="00385E11"/>
    <w:rsid w:val="0059577C"/>
    <w:rsid w:val="006835D2"/>
    <w:rsid w:val="00731632"/>
    <w:rsid w:val="01CB0F78"/>
    <w:rsid w:val="045954B6"/>
    <w:rsid w:val="076D15CF"/>
    <w:rsid w:val="08CE77B4"/>
    <w:rsid w:val="0A54530F"/>
    <w:rsid w:val="0A750537"/>
    <w:rsid w:val="11254AAD"/>
    <w:rsid w:val="17A032FB"/>
    <w:rsid w:val="1A590AD8"/>
    <w:rsid w:val="1A5E42D0"/>
    <w:rsid w:val="1C1E4649"/>
    <w:rsid w:val="1D3A1DA5"/>
    <w:rsid w:val="206E4B8B"/>
    <w:rsid w:val="213A6FA5"/>
    <w:rsid w:val="2406762A"/>
    <w:rsid w:val="29C1221E"/>
    <w:rsid w:val="2D5A1875"/>
    <w:rsid w:val="30D72E30"/>
    <w:rsid w:val="32FA1831"/>
    <w:rsid w:val="341F5D90"/>
    <w:rsid w:val="35BE7DBB"/>
    <w:rsid w:val="370757D3"/>
    <w:rsid w:val="38A46CD0"/>
    <w:rsid w:val="402C0554"/>
    <w:rsid w:val="411452A8"/>
    <w:rsid w:val="432050AF"/>
    <w:rsid w:val="4A09304E"/>
    <w:rsid w:val="4CEC4311"/>
    <w:rsid w:val="50434BD4"/>
    <w:rsid w:val="509B32CD"/>
    <w:rsid w:val="50FA53DC"/>
    <w:rsid w:val="5114461E"/>
    <w:rsid w:val="57B317F1"/>
    <w:rsid w:val="622540F5"/>
    <w:rsid w:val="643F1A11"/>
    <w:rsid w:val="71EA5622"/>
    <w:rsid w:val="749E4DE3"/>
    <w:rsid w:val="75614B20"/>
    <w:rsid w:val="783B524E"/>
    <w:rsid w:val="7CC443BD"/>
    <w:rsid w:val="7DF425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eastAsia="Calibri" w:cs="Calibri"/>
      <w:kern w:val="0"/>
      <w:sz w:val="21"/>
      <w:szCs w:val="21"/>
      <w:lang w:val="en-IN" w:eastAsia="en-IN"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qFormat/>
    <w:uiPriority w:val="9"/>
    <w:rPr>
      <w:rFonts w:eastAsiaTheme="majorEastAsia" w:cstheme="majorBidi"/>
      <w:color w:val="2F5597" w:themeColor="accent1" w:themeShade="BF"/>
      <w:sz w:val="28"/>
      <w:szCs w:val="28"/>
    </w:rPr>
  </w:style>
  <w:style w:type="character" w:customStyle="1" w:styleId="22">
    <w:name w:val="Heading 4 Char"/>
    <w:basedOn w:val="11"/>
    <w:link w:val="5"/>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0"/>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1601</Words>
  <Characters>9879</Characters>
  <Lines>19</Lines>
  <Paragraphs>5</Paragraphs>
  <TotalTime>0</TotalTime>
  <ScaleCrop>false</ScaleCrop>
  <LinksUpToDate>false</LinksUpToDate>
  <CharactersWithSpaces>11582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2026-09-25T05:56:00Z</dcterms:created>
  <dc:creator>Chidambaram Idarts</dc:creator>
  <cp:lastModifiedBy>Srinivasan A J</cp:lastModifiedBy>
  <dcterms:modified xsi:type="dcterms:W3CDTF">2026-10-14T12:41:14Z</dcterms:modified>
  <dc:subject>Outside Bar API specification using the supplied Triangle Alert document format</dc:subject>
  <dc:title>Outside Bar Alert API Specification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eyJoZGlkIjoiOGQ2OWYxNzM1NzRlOTUyZGFhYzNhYjlkNjk4ZTA5NWQiLCJ1c2VySWQiOiI1Njc0NTc3NTc1MjAifQ==</vt:lpwstr>
  </property>
  <property fmtid="{D5CDD505-2E9C-101B-9397-08002B2CF9AE}" pid="3" name="KSOProductBuildVer">
    <vt:lpwstr>1033-12.1.0.29162</vt:lpwstr>
  </property>
  <property fmtid="{D5CDD505-2E9C-101B-9397-08002B2CF9AE}" pid="4" name="ICV">
    <vt:lpwstr>CA63136533274322A621CC9B511EE572_12</vt:lpwstr>
  </property>
</Properties>
</file>