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882206">
      <w:pPr>
        <w:pStyle w:val="3"/>
        <w:ind w:left="1440" w:leftChars="0" w:firstLine="720" w:firstLineChars="0"/>
      </w:pPr>
      <w:r>
        <w:rPr>
          <w:b/>
          <w:bCs/>
        </w:rPr>
        <w:t>Long Unwinding Alert Market Level</w:t>
      </w:r>
    </w:p>
    <w:p w14:paraId="35E16A71">
      <w:pPr>
        <w:pStyle w:val="4"/>
      </w:pPr>
      <w:r>
        <w:t>1. API Definition</w:t>
      </w:r>
    </w:p>
    <w:p w14:paraId="48F12B9E">
      <w:pPr>
        <w:pStyle w:val="15"/>
        <w:rPr>
          <w:rFonts w:hint="default" w:ascii="Calibri" w:hAnsi="Calibri" w:cs="Calibri"/>
          <w:sz w:val="22"/>
          <w:szCs w:val="22"/>
        </w:rPr>
      </w:pPr>
      <w:r>
        <w:rPr>
          <w:rFonts w:hint="default" w:ascii="Calibri" w:hAnsi="Calibri" w:cs="Calibri"/>
          <w:sz w:val="22"/>
          <w:szCs w:val="22"/>
        </w:rPr>
        <w:t>This API evaluates market-wide Long Unwinding across the configured F&amp;O underlying universe. For each underlying, Long Unwinding is Price[t] &lt; Price[t-1] AND OI[t] &lt; OI[t-1]. Market LU % is the number of Long Unwinding underlyings divided by the total F&amp;O underlying count, multiplied by 100. The market-level alert condition is LU % ≥ 30%.</w:t>
      </w:r>
    </w:p>
    <w:p w14:paraId="0862F792">
      <w:pPr>
        <w:pStyle w:val="15"/>
      </w:pPr>
      <w:r>
        <w:rPr>
          <w:rFonts w:hint="default" w:ascii="Calibri" w:hAnsi="Calibri" w:cs="Calibri"/>
          <w:sz w:val="22"/>
          <w:szCs w:val="22"/>
        </w:rPr>
        <w:t>EOD evaluation uses daily historical observations. Live evaluation uses current Live data and is scheduled every 15 minutes. The 15-minute value is an evaluation cadence only; the API must not create or consume 15-minute candles. The optional Nifty or Bank Nifty futures condition is Price down AND combined OI down.</w:t>
      </w:r>
    </w:p>
    <w:p w14:paraId="5A251FE7">
      <w:pPr>
        <w:pStyle w:val="4"/>
      </w:pPr>
      <w:r>
        <w:t>Per-Underlying Long Unwinding</w:t>
      </w:r>
    </w:p>
    <w:p w14:paraId="20B27B00">
      <w:pPr>
        <w:pStyle w:val="15"/>
        <w:rPr>
          <w:rFonts w:hint="default" w:ascii="Calibri" w:hAnsi="Calibri" w:cs="Calibri"/>
          <w:sz w:val="22"/>
          <w:szCs w:val="22"/>
        </w:rPr>
      </w:pPr>
      <w:r>
        <w:rPr>
          <w:rFonts w:hint="default" w:ascii="Calibri" w:hAnsi="Calibri" w:cs="Calibri"/>
          <w:sz w:val="22"/>
          <w:szCs w:val="22"/>
        </w:rPr>
        <w:t>LongUnwinding[u,t] = Price[u,t] &lt; Price[u,t-1] AND OI[u,t] &lt; OI[u,t-1]. Both comparisons are strict.</w:t>
      </w:r>
    </w:p>
    <w:p w14:paraId="0960487E">
      <w:pPr>
        <w:pStyle w:val="4"/>
      </w:pPr>
      <w:r>
        <w:t>Market-Level Alert</w:t>
      </w:r>
    </w:p>
    <w:p w14:paraId="068D8BD2">
      <w:pPr>
        <w:pStyle w:val="15"/>
        <w:rPr>
          <w:rFonts w:hint="default" w:ascii="Calibri" w:hAnsi="Calibri" w:cs="Calibri"/>
          <w:sz w:val="22"/>
          <w:szCs w:val="22"/>
        </w:rPr>
      </w:pPr>
      <w:r>
        <w:rPr>
          <w:rFonts w:hint="default" w:ascii="Calibri" w:hAnsi="Calibri" w:cs="Calibri"/>
          <w:sz w:val="22"/>
          <w:szCs w:val="22"/>
        </w:rPr>
        <w:t>LU% = Count(LongUnwinding=true) / TotalFnoUnderlyings × 100. MarketLevelAlert = LU% ≥ 30%.</w:t>
      </w:r>
    </w:p>
    <w:p w14:paraId="543FA655">
      <w:pPr>
        <w:pStyle w:val="4"/>
      </w:pPr>
      <w:r>
        <w:t>Optional Index-Level Condition</w:t>
      </w:r>
    </w:p>
    <w:p w14:paraId="4E321CE0">
      <w:pPr>
        <w:pStyle w:val="15"/>
        <w:rPr>
          <w:rFonts w:hint="default" w:ascii="Calibri" w:hAnsi="Calibri" w:cs="Calibri"/>
          <w:sz w:val="22"/>
          <w:szCs w:val="22"/>
        </w:rPr>
      </w:pPr>
      <w:r>
        <w:rPr>
          <w:rFonts w:hint="default" w:ascii="Calibri" w:hAnsi="Calibri" w:cs="Calibri"/>
          <w:sz w:val="22"/>
          <w:szCs w:val="22"/>
        </w:rPr>
        <w:t>For a requested Nifty or Bank Nifty futures index: IndexPrice[t] &lt; IndexPrice[t-1] AND CombinedOI[t] &lt; CombinedOI[t-1]. The supplied rule does not say whether this condition gates the market-level LU alert. Return it as a separate result until that relationship is confirmed.</w:t>
      </w:r>
    </w:p>
    <w:p w14:paraId="7D702D42">
      <w:pPr>
        <w:pStyle w:val="4"/>
      </w:pPr>
      <w:r>
        <w:t>2. Request</w:t>
      </w:r>
    </w:p>
    <w:p w14:paraId="2502239E">
      <w:pPr>
        <w:pStyle w:val="5"/>
      </w:pPr>
      <w:r>
        <w:t>2.1 Endpoints</w:t>
      </w:r>
    </w:p>
    <w:p w14:paraId="700FA1F7">
      <w:pPr>
        <w:pStyle w:val="15"/>
        <w:rPr>
          <w:rFonts w:hint="default" w:ascii="Cambria" w:hAnsi="Cambria" w:cs="Cambria"/>
          <w:sz w:val="22"/>
          <w:szCs w:val="22"/>
        </w:rPr>
      </w:pPr>
      <w:r>
        <w:rPr>
          <w:rFonts w:hint="default" w:ascii="Cambria" w:hAnsi="Cambria" w:cs="Cambria"/>
          <w:sz w:val="22"/>
          <w:szCs w:val="22"/>
        </w:rPr>
        <w:t>The paired routes use the TechnicalScreeners and TechnicalScreenersLive naming convention. The EOD endpoint evaluates completed daily observations. The Live endpoint evaluates point-in-time Live data on the configured 15-minute schedule; it does not use 15-minute candle bars.</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25"/>
        <w:gridCol w:w="7404"/>
      </w:tblGrid>
      <w:tr w14:paraId="25A0F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blHeader/>
        </w:trPr>
        <w:tc>
          <w:tcPr>
            <w:tcW w:w="1625"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307CEA92">
            <w:pPr>
              <w:spacing w:after="0"/>
            </w:pPr>
            <w:r>
              <w:rPr>
                <w:rFonts w:ascii="Calibri" w:hAnsi="Calibri"/>
                <w:b/>
                <w:sz w:val="21"/>
              </w:rPr>
              <w:t>Method</w:t>
            </w:r>
          </w:p>
        </w:tc>
        <w:tc>
          <w:tcPr>
            <w:tcW w:w="7404"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2E60A641">
            <w:pPr>
              <w:spacing w:after="0"/>
            </w:pPr>
            <w:r>
              <w:rPr>
                <w:rFonts w:ascii="Calibri" w:hAnsi="Calibri"/>
                <w:b/>
                <w:sz w:val="21"/>
              </w:rPr>
              <w:t>Endpoint</w:t>
            </w:r>
          </w:p>
        </w:tc>
      </w:tr>
      <w:tr w14:paraId="31943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2982100">
            <w:pPr>
              <w:spacing w:after="0"/>
              <w:rPr>
                <w:sz w:val="18"/>
                <w:szCs w:val="18"/>
              </w:rPr>
            </w:pPr>
            <w:r>
              <w:rPr>
                <w:rFonts w:ascii="Calibri" w:hAnsi="Calibri"/>
                <w:sz w:val="18"/>
                <w:szCs w:val="18"/>
              </w:rPr>
              <w:t>GET</w:t>
            </w:r>
          </w:p>
        </w:tc>
        <w:tc>
          <w:tcPr>
            <w:tcW w:w="74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93D6DC5">
            <w:pPr>
              <w:spacing w:after="0"/>
              <w:rPr>
                <w:sz w:val="18"/>
                <w:szCs w:val="18"/>
              </w:rPr>
            </w:pPr>
            <w:r>
              <w:rPr>
                <w:rFonts w:ascii="Calibri" w:hAnsi="Calibri"/>
                <w:sz w:val="18"/>
                <w:szCs w:val="18"/>
              </w:rPr>
              <w:t>/api/eodanalytics/TechnicalScreeners/LongUnwindingAlert/{exchange}/{indexName?}</w:t>
            </w:r>
          </w:p>
        </w:tc>
      </w:tr>
      <w:tr w14:paraId="379D6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8BADBBB">
            <w:pPr>
              <w:spacing w:after="0"/>
              <w:rPr>
                <w:sz w:val="18"/>
                <w:szCs w:val="18"/>
              </w:rPr>
            </w:pPr>
            <w:r>
              <w:rPr>
                <w:rFonts w:ascii="Calibri" w:hAnsi="Calibri"/>
                <w:sz w:val="18"/>
                <w:szCs w:val="18"/>
              </w:rPr>
              <w:t>GET</w:t>
            </w:r>
          </w:p>
        </w:tc>
        <w:tc>
          <w:tcPr>
            <w:tcW w:w="74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BB8F397">
            <w:pPr>
              <w:spacing w:after="0"/>
              <w:rPr>
                <w:sz w:val="18"/>
                <w:szCs w:val="18"/>
              </w:rPr>
            </w:pPr>
            <w:r>
              <w:rPr>
                <w:rFonts w:ascii="Calibri" w:hAnsi="Calibri"/>
                <w:sz w:val="18"/>
                <w:szCs w:val="18"/>
              </w:rPr>
              <w:t>/api/eodanalytics/TechnicalScreenersLive/LongUnwindingAlert/{exchange}/{indexName?}</w:t>
            </w:r>
          </w:p>
        </w:tc>
      </w:tr>
    </w:tbl>
    <w:p w14:paraId="71ACF36C">
      <w:pPr>
        <w:pStyle w:val="4"/>
      </w:pPr>
      <w:r>
        <w:t>Path Parameters</w:t>
      </w:r>
    </w:p>
    <w:tbl>
      <w:tblPr>
        <w:tblStyle w:val="12"/>
        <w:tblW w:w="92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25"/>
        <w:gridCol w:w="1445"/>
        <w:gridCol w:w="5959"/>
      </w:tblGrid>
      <w:tr w14:paraId="396B6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25"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2C178A10">
            <w:pPr>
              <w:spacing w:after="0"/>
              <w:rPr>
                <w:sz w:val="20"/>
                <w:szCs w:val="20"/>
              </w:rPr>
            </w:pPr>
            <w:r>
              <w:rPr>
                <w:rFonts w:ascii="Calibri" w:hAnsi="Calibri"/>
                <w:b/>
                <w:sz w:val="20"/>
                <w:szCs w:val="20"/>
              </w:rPr>
              <w:t>Parameter</w:t>
            </w:r>
          </w:p>
        </w:tc>
        <w:tc>
          <w:tcPr>
            <w:tcW w:w="1445"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00D35087">
            <w:pPr>
              <w:spacing w:after="0"/>
              <w:rPr>
                <w:sz w:val="20"/>
                <w:szCs w:val="20"/>
              </w:rPr>
            </w:pPr>
            <w:r>
              <w:rPr>
                <w:rFonts w:ascii="Calibri" w:hAnsi="Calibri"/>
                <w:b/>
                <w:sz w:val="20"/>
                <w:szCs w:val="20"/>
              </w:rPr>
              <w:t>Required</w:t>
            </w:r>
          </w:p>
        </w:tc>
        <w:tc>
          <w:tcPr>
            <w:tcW w:w="5959"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294B8BEA">
            <w:pPr>
              <w:spacing w:after="0"/>
              <w:rPr>
                <w:sz w:val="20"/>
                <w:szCs w:val="20"/>
              </w:rPr>
            </w:pPr>
            <w:r>
              <w:rPr>
                <w:rFonts w:ascii="Calibri" w:hAnsi="Calibri"/>
                <w:b/>
                <w:sz w:val="20"/>
                <w:szCs w:val="20"/>
              </w:rPr>
              <w:t>Description</w:t>
            </w:r>
          </w:p>
        </w:tc>
      </w:tr>
      <w:tr w14:paraId="29A0A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741A524">
            <w:pPr>
              <w:spacing w:after="0"/>
              <w:rPr>
                <w:sz w:val="20"/>
                <w:szCs w:val="20"/>
              </w:rPr>
            </w:pPr>
            <w:r>
              <w:rPr>
                <w:rFonts w:ascii="Calibri" w:hAnsi="Calibri"/>
                <w:sz w:val="20"/>
                <w:szCs w:val="20"/>
              </w:rPr>
              <w:t>exchange</w:t>
            </w:r>
          </w:p>
        </w:tc>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26B853F">
            <w:pPr>
              <w:spacing w:after="0"/>
              <w:rPr>
                <w:sz w:val="20"/>
                <w:szCs w:val="20"/>
              </w:rPr>
            </w:pPr>
            <w:r>
              <w:rPr>
                <w:rFonts w:ascii="Calibri" w:hAnsi="Calibri"/>
                <w:sz w:val="20"/>
                <w:szCs w:val="20"/>
              </w:rPr>
              <w:t>Yes</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0250532">
            <w:pPr>
              <w:spacing w:after="0"/>
              <w:rPr>
                <w:sz w:val="20"/>
                <w:szCs w:val="20"/>
              </w:rPr>
            </w:pPr>
            <w:r>
              <w:rPr>
                <w:rFonts w:ascii="Calibri" w:hAnsi="Calibri"/>
                <w:sz w:val="20"/>
                <w:szCs w:val="20"/>
              </w:rPr>
              <w:t>Exchange for the F&amp;O underlying universe, such as NSE.</w:t>
            </w:r>
          </w:p>
        </w:tc>
      </w:tr>
      <w:tr w14:paraId="0D92E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65F55B7">
            <w:pPr>
              <w:spacing w:after="0"/>
              <w:rPr>
                <w:sz w:val="20"/>
                <w:szCs w:val="20"/>
              </w:rPr>
            </w:pPr>
            <w:r>
              <w:rPr>
                <w:rFonts w:ascii="Calibri" w:hAnsi="Calibri"/>
                <w:sz w:val="20"/>
                <w:szCs w:val="20"/>
              </w:rPr>
              <w:t>indexName</w:t>
            </w:r>
          </w:p>
        </w:tc>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A419D01">
            <w:pPr>
              <w:spacing w:after="0"/>
              <w:rPr>
                <w:sz w:val="20"/>
                <w:szCs w:val="20"/>
              </w:rPr>
            </w:pPr>
            <w:r>
              <w:rPr>
                <w:rFonts w:ascii="Calibri" w:hAnsi="Calibri"/>
                <w:sz w:val="20"/>
                <w:szCs w:val="20"/>
              </w:rPr>
              <w:t>No</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40787EC">
            <w:pPr>
              <w:spacing w:after="0"/>
              <w:rPr>
                <w:sz w:val="20"/>
                <w:szCs w:val="20"/>
              </w:rPr>
            </w:pPr>
            <w:r>
              <w:rPr>
                <w:rFonts w:ascii="Calibri" w:hAnsi="Calibri"/>
                <w:sz w:val="20"/>
                <w:szCs w:val="20"/>
              </w:rPr>
              <w:t>Optional index-level check: Nifty or Bank Nifty futures. Omit to evaluate only market-level breadth.</w:t>
            </w:r>
          </w:p>
        </w:tc>
      </w:tr>
    </w:tbl>
    <w:p w14:paraId="705A4D3F">
      <w:pPr>
        <w:pStyle w:val="5"/>
      </w:pPr>
      <w:r>
        <w:t>2.2 Evaluation Modes</w:t>
      </w:r>
    </w:p>
    <w:p w14:paraId="402569A8">
      <w:pPr>
        <w:pStyle w:val="15"/>
        <w:rPr>
          <w:rFonts w:hint="default" w:ascii="Calibri" w:hAnsi="Calibri" w:cs="Calibri"/>
          <w:sz w:val="22"/>
          <w:szCs w:val="22"/>
        </w:rPr>
      </w:pPr>
      <w:r>
        <w:rPr>
          <w:rFonts w:hint="default" w:ascii="Calibri" w:hAnsi="Calibri" w:cs="Calibri"/>
          <w:sz w:val="22"/>
          <w:szCs w:val="22"/>
        </w:rPr>
        <w:t>EOD: evaluate each underlying using the latest completed daily observation and its prior daily observation. Calculate the market percentage over the configured F&amp;O underlying universe for the same evaluation date.</w:t>
      </w:r>
    </w:p>
    <w:p w14:paraId="2F1C719D">
      <w:pPr>
        <w:pStyle w:val="15"/>
        <w:rPr>
          <w:rFonts w:hint="default" w:ascii="Calibri" w:hAnsi="Calibri" w:cs="Calibri"/>
          <w:sz w:val="22"/>
          <w:szCs w:val="22"/>
        </w:rPr>
      </w:pPr>
      <w:r>
        <w:rPr>
          <w:rFonts w:hint="default" w:ascii="Calibri" w:hAnsi="Calibri" w:cs="Calibri"/>
          <w:sz w:val="22"/>
          <w:szCs w:val="22"/>
        </w:rPr>
        <w:t>Live: evaluate current price and OI snapshots on a 15-minute schedule while the configured market session is open. The comparison reference for t-1 is not defined for Live snapshots; a prior Live snapshot or a prior completed EOD observation is a decision to confirm. Do not generate 15-minute candles.</w:t>
      </w:r>
    </w:p>
    <w:p w14:paraId="25E2067E">
      <w:pPr>
        <w:pStyle w:val="15"/>
        <w:rPr>
          <w:rFonts w:hint="default" w:ascii="Calibri" w:hAnsi="Calibri" w:cs="Calibri"/>
          <w:sz w:val="22"/>
          <w:szCs w:val="22"/>
        </w:rPr>
      </w:pPr>
      <w:r>
        <w:rPr>
          <w:rFonts w:hint="default" w:ascii="Calibri" w:hAnsi="Calibri" w:cs="Calibri"/>
          <w:sz w:val="22"/>
          <w:szCs w:val="22"/>
        </w:rPr>
        <w:t>Use the existing market timing service and configured Market_State_Timings when session gating is required. Do not hard-code market hours or timezone assumptions.</w:t>
      </w:r>
    </w:p>
    <w:p w14:paraId="618D75F7">
      <w:pPr>
        <w:pStyle w:val="4"/>
      </w:pPr>
      <w:r>
        <w:t>3. Response</w:t>
      </w:r>
    </w:p>
    <w:p w14:paraId="09DCEBD9">
      <w:pPr>
        <w:pStyle w:val="15"/>
        <w:rPr>
          <w:rFonts w:hint="default" w:ascii="Calibri" w:hAnsi="Calibri" w:cs="Calibri"/>
          <w:sz w:val="22"/>
          <w:szCs w:val="22"/>
        </w:rPr>
      </w:pPr>
      <w:r>
        <w:rPr>
          <w:rFonts w:hint="default" w:ascii="Calibri" w:hAnsi="Calibri" w:cs="Calibri"/>
          <w:sz w:val="22"/>
          <w:szCs w:val="22"/>
        </w:rPr>
        <w:t>Return the market-level percentage, numerator, denominator, threshold result, data completeness, and optional index-condition result. Include per-underlying comparisons so the breadth result can be audited. The schema is suggested and should follow the existing TechnicalScreeners response conventions.</w:t>
      </w:r>
    </w:p>
    <w:p w14:paraId="12C5D556">
      <w:pPr>
        <w:pStyle w:val="5"/>
      </w:pPr>
      <w:r>
        <w:t>Response Schema</w:t>
      </w:r>
    </w:p>
    <w:tbl>
      <w:tblPr>
        <w:tblStyle w:val="12"/>
        <w:tblW w:w="90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81"/>
        <w:gridCol w:w="1804"/>
        <w:gridCol w:w="5143"/>
      </w:tblGrid>
      <w:tr w14:paraId="24A2C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81"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0DDFDF89">
            <w:pPr>
              <w:spacing w:after="0"/>
              <w:rPr>
                <w:sz w:val="20"/>
                <w:szCs w:val="20"/>
              </w:rPr>
            </w:pPr>
            <w:r>
              <w:rPr>
                <w:rFonts w:ascii="Calibri" w:hAnsi="Calibri"/>
                <w:b/>
                <w:sz w:val="20"/>
                <w:szCs w:val="20"/>
              </w:rPr>
              <w:t>Field</w:t>
            </w:r>
          </w:p>
        </w:tc>
        <w:tc>
          <w:tcPr>
            <w:tcW w:w="1804"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5B8962C9">
            <w:pPr>
              <w:spacing w:after="0"/>
              <w:rPr>
                <w:sz w:val="20"/>
                <w:szCs w:val="20"/>
              </w:rPr>
            </w:pPr>
            <w:r>
              <w:rPr>
                <w:rFonts w:ascii="Calibri" w:hAnsi="Calibri"/>
                <w:b/>
                <w:sz w:val="20"/>
                <w:szCs w:val="20"/>
              </w:rPr>
              <w:t>Type</w:t>
            </w:r>
          </w:p>
        </w:tc>
        <w:tc>
          <w:tcPr>
            <w:tcW w:w="5143"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01F27B9F">
            <w:pPr>
              <w:spacing w:after="0"/>
              <w:rPr>
                <w:sz w:val="20"/>
                <w:szCs w:val="20"/>
              </w:rPr>
            </w:pPr>
            <w:r>
              <w:rPr>
                <w:rFonts w:ascii="Calibri" w:hAnsi="Calibri"/>
                <w:b/>
                <w:sz w:val="20"/>
                <w:szCs w:val="20"/>
              </w:rPr>
              <w:t>Description</w:t>
            </w:r>
          </w:p>
        </w:tc>
      </w:tr>
      <w:tr w14:paraId="6C1C4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FFF6DAF">
            <w:pPr>
              <w:spacing w:after="0"/>
              <w:rPr>
                <w:sz w:val="20"/>
                <w:szCs w:val="20"/>
              </w:rPr>
            </w:pPr>
            <w:r>
              <w:rPr>
                <w:rFonts w:ascii="Calibri" w:hAnsi="Calibri"/>
                <w:sz w:val="20"/>
                <w:szCs w:val="20"/>
              </w:rPr>
              <w:t>timeStamp</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2F00152">
            <w:pPr>
              <w:spacing w:after="0"/>
              <w:rPr>
                <w:sz w:val="20"/>
                <w:szCs w:val="20"/>
              </w:rPr>
            </w:pPr>
            <w:r>
              <w:rPr>
                <w:rFonts w:ascii="Calibri" w:hAnsi="Calibri"/>
                <w:sz w:val="20"/>
                <w:szCs w:val="20"/>
              </w:rPr>
              <w:t>string</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6ECB4ED">
            <w:pPr>
              <w:spacing w:after="0"/>
              <w:rPr>
                <w:sz w:val="20"/>
                <w:szCs w:val="20"/>
              </w:rPr>
            </w:pPr>
            <w:r>
              <w:rPr>
                <w:rFonts w:ascii="Calibri" w:hAnsi="Calibri"/>
                <w:sz w:val="20"/>
                <w:szCs w:val="20"/>
              </w:rPr>
              <w:t>Evaluation timestamp.</w:t>
            </w:r>
          </w:p>
        </w:tc>
      </w:tr>
      <w:tr w14:paraId="1BC41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C6B9822">
            <w:pPr>
              <w:spacing w:after="0"/>
              <w:rPr>
                <w:sz w:val="20"/>
                <w:szCs w:val="20"/>
              </w:rPr>
            </w:pPr>
            <w:r>
              <w:rPr>
                <w:rFonts w:ascii="Calibri" w:hAnsi="Calibri"/>
                <w:sz w:val="20"/>
                <w:szCs w:val="20"/>
              </w:rPr>
              <w:t>exchange</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1FAC0BF">
            <w:pPr>
              <w:spacing w:after="0"/>
              <w:rPr>
                <w:sz w:val="20"/>
                <w:szCs w:val="20"/>
              </w:rPr>
            </w:pPr>
            <w:r>
              <w:rPr>
                <w:rFonts w:ascii="Calibri" w:hAnsi="Calibri"/>
                <w:sz w:val="20"/>
                <w:szCs w:val="20"/>
              </w:rPr>
              <w:t>string</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D11FF48">
            <w:pPr>
              <w:spacing w:after="0"/>
              <w:rPr>
                <w:sz w:val="20"/>
                <w:szCs w:val="20"/>
              </w:rPr>
            </w:pPr>
            <w:r>
              <w:rPr>
                <w:rFonts w:ascii="Calibri" w:hAnsi="Calibri"/>
                <w:sz w:val="20"/>
                <w:szCs w:val="20"/>
              </w:rPr>
              <w:t>Requested exchange.</w:t>
            </w:r>
          </w:p>
        </w:tc>
      </w:tr>
      <w:tr w14:paraId="40B6C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4CCFA0E">
            <w:pPr>
              <w:spacing w:after="0"/>
              <w:rPr>
                <w:sz w:val="20"/>
                <w:szCs w:val="20"/>
              </w:rPr>
            </w:pPr>
            <w:r>
              <w:rPr>
                <w:rFonts w:ascii="Calibri" w:hAnsi="Calibri"/>
                <w:sz w:val="20"/>
                <w:szCs w:val="20"/>
              </w:rPr>
              <w:t>alertType</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AEFFD47">
            <w:pPr>
              <w:spacing w:after="0"/>
              <w:rPr>
                <w:sz w:val="20"/>
                <w:szCs w:val="20"/>
              </w:rPr>
            </w:pPr>
            <w:r>
              <w:rPr>
                <w:rFonts w:ascii="Calibri" w:hAnsi="Calibri"/>
                <w:sz w:val="20"/>
                <w:szCs w:val="20"/>
              </w:rPr>
              <w:t>string</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57D82E8">
            <w:pPr>
              <w:spacing w:after="0"/>
              <w:rPr>
                <w:sz w:val="20"/>
                <w:szCs w:val="20"/>
              </w:rPr>
            </w:pPr>
            <w:r>
              <w:rPr>
                <w:rFonts w:ascii="Calibri" w:hAnsi="Calibri"/>
                <w:sz w:val="20"/>
                <w:szCs w:val="20"/>
              </w:rPr>
              <w:t>LongUnwindingAlert.</w:t>
            </w:r>
          </w:p>
        </w:tc>
      </w:tr>
      <w:tr w14:paraId="5B40A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4ECC591">
            <w:pPr>
              <w:spacing w:after="0"/>
              <w:rPr>
                <w:sz w:val="20"/>
                <w:szCs w:val="20"/>
              </w:rPr>
            </w:pPr>
            <w:r>
              <w:rPr>
                <w:rFonts w:ascii="Calibri" w:hAnsi="Calibri"/>
                <w:sz w:val="20"/>
                <w:szCs w:val="20"/>
              </w:rPr>
              <w:t>evaluationMode</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01073A5">
            <w:pPr>
              <w:spacing w:after="0"/>
              <w:rPr>
                <w:sz w:val="20"/>
                <w:szCs w:val="20"/>
              </w:rPr>
            </w:pPr>
            <w:r>
              <w:rPr>
                <w:rFonts w:ascii="Calibri" w:hAnsi="Calibri"/>
                <w:sz w:val="20"/>
                <w:szCs w:val="20"/>
              </w:rPr>
              <w:t>string</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92E0639">
            <w:pPr>
              <w:spacing w:after="0"/>
              <w:rPr>
                <w:sz w:val="20"/>
                <w:szCs w:val="20"/>
              </w:rPr>
            </w:pPr>
            <w:r>
              <w:rPr>
                <w:rFonts w:ascii="Calibri" w:hAnsi="Calibri"/>
                <w:sz w:val="20"/>
                <w:szCs w:val="20"/>
              </w:rPr>
              <w:t>Live or EOD.</w:t>
            </w:r>
          </w:p>
        </w:tc>
      </w:tr>
      <w:tr w14:paraId="7C0C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1016CF8">
            <w:pPr>
              <w:spacing w:after="0"/>
              <w:rPr>
                <w:sz w:val="20"/>
                <w:szCs w:val="20"/>
              </w:rPr>
            </w:pPr>
            <w:r>
              <w:rPr>
                <w:rFonts w:ascii="Calibri" w:hAnsi="Calibri"/>
                <w:sz w:val="20"/>
                <w:szCs w:val="20"/>
              </w:rPr>
              <w:t>isProvisional</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563A2EF">
            <w:pPr>
              <w:spacing w:after="0"/>
              <w:rPr>
                <w:sz w:val="20"/>
                <w:szCs w:val="20"/>
              </w:rPr>
            </w:pPr>
            <w:r>
              <w:rPr>
                <w:rFonts w:ascii="Calibri" w:hAnsi="Calibri"/>
                <w:sz w:val="20"/>
                <w:szCs w:val="20"/>
              </w:rPr>
              <w:t>bool</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F774B53">
            <w:pPr>
              <w:spacing w:after="0"/>
              <w:rPr>
                <w:sz w:val="20"/>
                <w:szCs w:val="20"/>
              </w:rPr>
            </w:pPr>
            <w:r>
              <w:rPr>
                <w:rFonts w:ascii="Calibri" w:hAnsi="Calibri"/>
                <w:sz w:val="20"/>
                <w:szCs w:val="20"/>
              </w:rPr>
              <w:t>True for Live snapshot results; false for completed EOD results.</w:t>
            </w:r>
          </w:p>
        </w:tc>
      </w:tr>
      <w:tr w14:paraId="279F0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A27EAFC">
            <w:pPr>
              <w:spacing w:after="0"/>
              <w:rPr>
                <w:sz w:val="20"/>
                <w:szCs w:val="20"/>
              </w:rPr>
            </w:pPr>
            <w:r>
              <w:rPr>
                <w:rFonts w:ascii="Calibri" w:hAnsi="Calibri"/>
                <w:sz w:val="20"/>
                <w:szCs w:val="20"/>
              </w:rPr>
              <w:t>evaluationStatus</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8AB4537">
            <w:pPr>
              <w:spacing w:after="0"/>
              <w:rPr>
                <w:sz w:val="20"/>
                <w:szCs w:val="20"/>
              </w:rPr>
            </w:pPr>
            <w:r>
              <w:rPr>
                <w:rFonts w:ascii="Calibri" w:hAnsi="Calibri"/>
                <w:sz w:val="20"/>
                <w:szCs w:val="20"/>
              </w:rPr>
              <w:t>string</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A7EE694">
            <w:pPr>
              <w:spacing w:after="0"/>
              <w:rPr>
                <w:sz w:val="20"/>
                <w:szCs w:val="20"/>
              </w:rPr>
            </w:pPr>
            <w:r>
              <w:rPr>
                <w:rFonts w:ascii="Calibri" w:hAnsi="Calibri"/>
                <w:sz w:val="20"/>
                <w:szCs w:val="20"/>
              </w:rPr>
              <w:t>Evaluated, incomplete_data, insufficient_history, or data_unavailable per API convention.</w:t>
            </w:r>
          </w:p>
        </w:tc>
      </w:tr>
      <w:tr w14:paraId="0710D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7C80DF6">
            <w:pPr>
              <w:spacing w:after="0"/>
              <w:rPr>
                <w:sz w:val="20"/>
                <w:szCs w:val="20"/>
              </w:rPr>
            </w:pPr>
            <w:r>
              <w:rPr>
                <w:rFonts w:ascii="Calibri" w:hAnsi="Calibri"/>
                <w:sz w:val="20"/>
                <w:szCs w:val="20"/>
              </w:rPr>
              <w:t>evaluationDate</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F0CF805">
            <w:pPr>
              <w:spacing w:after="0"/>
              <w:rPr>
                <w:sz w:val="20"/>
                <w:szCs w:val="20"/>
              </w:rPr>
            </w:pPr>
            <w:r>
              <w:rPr>
                <w:rFonts w:ascii="Calibri" w:hAnsi="Calibri"/>
                <w:sz w:val="20"/>
                <w:szCs w:val="20"/>
              </w:rPr>
              <w:t>string</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4C0C319">
            <w:pPr>
              <w:spacing w:after="0"/>
              <w:rPr>
                <w:sz w:val="20"/>
                <w:szCs w:val="20"/>
              </w:rPr>
            </w:pPr>
            <w:r>
              <w:rPr>
                <w:rFonts w:ascii="Calibri" w:hAnsi="Calibri"/>
                <w:sz w:val="20"/>
                <w:szCs w:val="20"/>
              </w:rPr>
              <w:t>Trading date or observation date for the evaluation.</w:t>
            </w:r>
          </w:p>
        </w:tc>
      </w:tr>
      <w:tr w14:paraId="265E3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ED9F4D2">
            <w:pPr>
              <w:spacing w:after="0"/>
              <w:rPr>
                <w:sz w:val="20"/>
                <w:szCs w:val="20"/>
              </w:rPr>
            </w:pPr>
            <w:r>
              <w:rPr>
                <w:rFonts w:ascii="Calibri" w:hAnsi="Calibri"/>
                <w:sz w:val="20"/>
                <w:szCs w:val="20"/>
              </w:rPr>
              <w:t>totalFnoUnderlyings</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9807D65">
            <w:pPr>
              <w:spacing w:after="0"/>
              <w:rPr>
                <w:sz w:val="20"/>
                <w:szCs w:val="20"/>
              </w:rPr>
            </w:pPr>
            <w:r>
              <w:rPr>
                <w:rFonts w:ascii="Calibri" w:hAnsi="Calibri"/>
                <w:sz w:val="20"/>
                <w:szCs w:val="20"/>
              </w:rPr>
              <w:t>int</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F9FA135">
            <w:pPr>
              <w:spacing w:after="0"/>
              <w:rPr>
                <w:sz w:val="20"/>
                <w:szCs w:val="20"/>
              </w:rPr>
            </w:pPr>
            <w:r>
              <w:rPr>
                <w:rFonts w:ascii="Calibri" w:hAnsi="Calibri"/>
                <w:sz w:val="20"/>
                <w:szCs w:val="20"/>
              </w:rPr>
              <w:t>Total underlyings in the configured F&amp;O universe for this evaluation.</w:t>
            </w:r>
          </w:p>
        </w:tc>
      </w:tr>
      <w:tr w14:paraId="11394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76AF68D">
            <w:pPr>
              <w:spacing w:after="0"/>
              <w:rPr>
                <w:sz w:val="20"/>
                <w:szCs w:val="20"/>
              </w:rPr>
            </w:pPr>
            <w:r>
              <w:rPr>
                <w:rFonts w:ascii="Calibri" w:hAnsi="Calibri"/>
                <w:sz w:val="20"/>
                <w:szCs w:val="20"/>
              </w:rPr>
              <w:t>evaluatedUnderlyings</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FCD682D">
            <w:pPr>
              <w:spacing w:after="0"/>
              <w:rPr>
                <w:sz w:val="20"/>
                <w:szCs w:val="20"/>
              </w:rPr>
            </w:pPr>
            <w:r>
              <w:rPr>
                <w:rFonts w:ascii="Calibri" w:hAnsi="Calibri"/>
                <w:sz w:val="20"/>
                <w:szCs w:val="20"/>
              </w:rPr>
              <w:t>int</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E34B243">
            <w:pPr>
              <w:spacing w:after="0"/>
              <w:rPr>
                <w:sz w:val="20"/>
                <w:szCs w:val="20"/>
              </w:rPr>
            </w:pPr>
            <w:r>
              <w:rPr>
                <w:rFonts w:ascii="Calibri" w:hAnsi="Calibri"/>
                <w:sz w:val="20"/>
                <w:szCs w:val="20"/>
              </w:rPr>
              <w:t>Underlyings with valid comparable Price and OI observations.</w:t>
            </w:r>
          </w:p>
        </w:tc>
      </w:tr>
      <w:tr w14:paraId="6F08E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462FEE5">
            <w:pPr>
              <w:spacing w:after="0"/>
              <w:rPr>
                <w:sz w:val="20"/>
                <w:szCs w:val="20"/>
              </w:rPr>
            </w:pPr>
            <w:r>
              <w:rPr>
                <w:rFonts w:ascii="Calibri" w:hAnsi="Calibri"/>
                <w:sz w:val="20"/>
                <w:szCs w:val="20"/>
              </w:rPr>
              <w:t>longUnwindingCount</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B6605C0">
            <w:pPr>
              <w:spacing w:after="0"/>
              <w:rPr>
                <w:sz w:val="20"/>
                <w:szCs w:val="20"/>
              </w:rPr>
            </w:pPr>
            <w:r>
              <w:rPr>
                <w:rFonts w:ascii="Calibri" w:hAnsi="Calibri"/>
                <w:sz w:val="20"/>
                <w:szCs w:val="20"/>
              </w:rPr>
              <w:t>int</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4853568">
            <w:pPr>
              <w:spacing w:after="0"/>
              <w:rPr>
                <w:sz w:val="20"/>
                <w:szCs w:val="20"/>
              </w:rPr>
            </w:pPr>
            <w:r>
              <w:rPr>
                <w:rFonts w:ascii="Calibri" w:hAnsi="Calibri"/>
                <w:sz w:val="20"/>
                <w:szCs w:val="20"/>
              </w:rPr>
              <w:t>Count of underlyings satisfying both strict down conditions.</w:t>
            </w:r>
          </w:p>
        </w:tc>
      </w:tr>
      <w:tr w14:paraId="2B88C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8A4C1B2">
            <w:pPr>
              <w:spacing w:after="0"/>
              <w:rPr>
                <w:sz w:val="20"/>
                <w:szCs w:val="20"/>
              </w:rPr>
            </w:pPr>
            <w:r>
              <w:rPr>
                <w:rFonts w:ascii="Calibri" w:hAnsi="Calibri"/>
                <w:sz w:val="20"/>
                <w:szCs w:val="20"/>
              </w:rPr>
              <w:t>luPercent</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AD16D03">
            <w:pPr>
              <w:spacing w:after="0"/>
              <w:rPr>
                <w:sz w:val="20"/>
                <w:szCs w:val="20"/>
              </w:rPr>
            </w:pPr>
            <w:r>
              <w:rPr>
                <w:rFonts w:ascii="Calibri" w:hAnsi="Calibri"/>
                <w:sz w:val="20"/>
                <w:szCs w:val="20"/>
              </w:rPr>
              <w:t>decimal</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9952776">
            <w:pPr>
              <w:spacing w:after="0"/>
              <w:rPr>
                <w:sz w:val="20"/>
                <w:szCs w:val="20"/>
              </w:rPr>
            </w:pPr>
            <w:r>
              <w:rPr>
                <w:rFonts w:ascii="Calibri" w:hAnsi="Calibri"/>
                <w:sz w:val="20"/>
                <w:szCs w:val="20"/>
              </w:rPr>
              <w:t>longUnwindingCount / totalFnoUnderlyings × 100 when the universe data is complete.</w:t>
            </w:r>
          </w:p>
        </w:tc>
      </w:tr>
      <w:tr w14:paraId="12025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F7C8791">
            <w:pPr>
              <w:spacing w:after="0"/>
              <w:rPr>
                <w:sz w:val="20"/>
                <w:szCs w:val="20"/>
              </w:rPr>
            </w:pPr>
            <w:r>
              <w:rPr>
                <w:rFonts w:ascii="Calibri" w:hAnsi="Calibri"/>
                <w:sz w:val="20"/>
                <w:szCs w:val="20"/>
              </w:rPr>
              <w:t>thresholdPercent</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461E1B0">
            <w:pPr>
              <w:spacing w:after="0"/>
              <w:rPr>
                <w:sz w:val="20"/>
                <w:szCs w:val="20"/>
              </w:rPr>
            </w:pPr>
            <w:r>
              <w:rPr>
                <w:rFonts w:ascii="Calibri" w:hAnsi="Calibri"/>
                <w:sz w:val="20"/>
                <w:szCs w:val="20"/>
              </w:rPr>
              <w:t>decimal</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233C4A6">
            <w:pPr>
              <w:spacing w:after="0"/>
              <w:rPr>
                <w:sz w:val="20"/>
                <w:szCs w:val="20"/>
              </w:rPr>
            </w:pPr>
            <w:r>
              <w:rPr>
                <w:rFonts w:ascii="Calibri" w:hAnsi="Calibri"/>
                <w:sz w:val="20"/>
                <w:szCs w:val="20"/>
              </w:rPr>
              <w:t>Configured threshold from the supplied rule: 30.</w:t>
            </w:r>
          </w:p>
        </w:tc>
      </w:tr>
      <w:tr w14:paraId="710E3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E50BD76">
            <w:pPr>
              <w:spacing w:after="0"/>
              <w:rPr>
                <w:sz w:val="20"/>
                <w:szCs w:val="20"/>
              </w:rPr>
            </w:pPr>
            <w:r>
              <w:rPr>
                <w:rFonts w:ascii="Calibri" w:hAnsi="Calibri"/>
                <w:sz w:val="20"/>
                <w:szCs w:val="20"/>
              </w:rPr>
              <w:t>marketLevelAlertDetected</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B72B98F">
            <w:pPr>
              <w:spacing w:after="0"/>
              <w:rPr>
                <w:sz w:val="20"/>
                <w:szCs w:val="20"/>
              </w:rPr>
            </w:pPr>
            <w:r>
              <w:rPr>
                <w:rFonts w:ascii="Calibri" w:hAnsi="Calibri"/>
                <w:sz w:val="20"/>
                <w:szCs w:val="20"/>
              </w:rPr>
              <w:t>bool</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9CF228E">
            <w:pPr>
              <w:spacing w:after="0"/>
              <w:rPr>
                <w:sz w:val="20"/>
                <w:szCs w:val="20"/>
              </w:rPr>
            </w:pPr>
            <w:r>
              <w:rPr>
                <w:rFonts w:ascii="Calibri" w:hAnsi="Calibri"/>
                <w:sz w:val="20"/>
                <w:szCs w:val="20"/>
              </w:rPr>
              <w:t>True when LU % is at least 30%, subject to complete data.</w:t>
            </w:r>
          </w:p>
        </w:tc>
      </w:tr>
      <w:tr w14:paraId="71097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34DB15B">
            <w:pPr>
              <w:spacing w:after="0"/>
              <w:rPr>
                <w:sz w:val="20"/>
                <w:szCs w:val="20"/>
              </w:rPr>
            </w:pPr>
            <w:r>
              <w:rPr>
                <w:rFonts w:ascii="Calibri" w:hAnsi="Calibri"/>
                <w:sz w:val="20"/>
                <w:szCs w:val="20"/>
              </w:rPr>
              <w:t>indexName</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C56DB24">
            <w:pPr>
              <w:spacing w:after="0"/>
              <w:rPr>
                <w:sz w:val="20"/>
                <w:szCs w:val="20"/>
              </w:rPr>
            </w:pPr>
            <w:r>
              <w:rPr>
                <w:rFonts w:ascii="Calibri" w:hAnsi="Calibri"/>
                <w:sz w:val="20"/>
                <w:szCs w:val="20"/>
              </w:rPr>
              <w:t>string or null</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3C51346">
            <w:pPr>
              <w:spacing w:after="0"/>
              <w:rPr>
                <w:sz w:val="20"/>
                <w:szCs w:val="20"/>
              </w:rPr>
            </w:pPr>
            <w:r>
              <w:rPr>
                <w:rFonts w:ascii="Calibri" w:hAnsi="Calibri"/>
                <w:sz w:val="20"/>
                <w:szCs w:val="20"/>
              </w:rPr>
              <w:t>Nifty or Bank Nifty when the optional index check is requested.</w:t>
            </w:r>
          </w:p>
        </w:tc>
      </w:tr>
      <w:tr w14:paraId="43178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CD30D24">
            <w:pPr>
              <w:spacing w:after="0"/>
              <w:rPr>
                <w:sz w:val="20"/>
                <w:szCs w:val="20"/>
              </w:rPr>
            </w:pPr>
            <w:r>
              <w:rPr>
                <w:rFonts w:ascii="Calibri" w:hAnsi="Calibri"/>
                <w:sz w:val="20"/>
                <w:szCs w:val="20"/>
              </w:rPr>
              <w:t>indexPrice</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2F7E1F4">
            <w:pPr>
              <w:spacing w:after="0"/>
              <w:rPr>
                <w:sz w:val="20"/>
                <w:szCs w:val="20"/>
              </w:rPr>
            </w:pPr>
            <w:r>
              <w:rPr>
                <w:rFonts w:ascii="Calibri" w:hAnsi="Calibri"/>
                <w:sz w:val="20"/>
                <w:szCs w:val="20"/>
              </w:rPr>
              <w:t>decimal or null</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FF663FA">
            <w:pPr>
              <w:spacing w:after="0"/>
              <w:rPr>
                <w:sz w:val="20"/>
                <w:szCs w:val="20"/>
              </w:rPr>
            </w:pPr>
            <w:r>
              <w:rPr>
                <w:rFonts w:ascii="Calibri" w:hAnsi="Calibri"/>
                <w:sz w:val="20"/>
                <w:szCs w:val="20"/>
              </w:rPr>
              <w:t>Current index futures price used for the optional condition.</w:t>
            </w:r>
          </w:p>
        </w:tc>
      </w:tr>
      <w:tr w14:paraId="79D3C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5F23042">
            <w:pPr>
              <w:spacing w:after="0"/>
              <w:rPr>
                <w:sz w:val="20"/>
                <w:szCs w:val="20"/>
              </w:rPr>
            </w:pPr>
            <w:r>
              <w:rPr>
                <w:rFonts w:ascii="Calibri" w:hAnsi="Calibri"/>
                <w:sz w:val="20"/>
                <w:szCs w:val="20"/>
              </w:rPr>
              <w:t>comparisonIndexPrice</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31948BD">
            <w:pPr>
              <w:spacing w:after="0"/>
              <w:rPr>
                <w:sz w:val="20"/>
                <w:szCs w:val="20"/>
              </w:rPr>
            </w:pPr>
            <w:r>
              <w:rPr>
                <w:rFonts w:ascii="Calibri" w:hAnsi="Calibri"/>
                <w:sz w:val="20"/>
                <w:szCs w:val="20"/>
              </w:rPr>
              <w:t>decimal or null</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80B4D6B">
            <w:pPr>
              <w:spacing w:after="0"/>
              <w:rPr>
                <w:sz w:val="20"/>
                <w:szCs w:val="20"/>
              </w:rPr>
            </w:pPr>
            <w:r>
              <w:rPr>
                <w:rFonts w:ascii="Calibri" w:hAnsi="Calibri"/>
                <w:sz w:val="20"/>
                <w:szCs w:val="20"/>
              </w:rPr>
              <w:t>Comparison index futures price.</w:t>
            </w:r>
          </w:p>
        </w:tc>
      </w:tr>
      <w:tr w14:paraId="20FA7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CD29855">
            <w:pPr>
              <w:spacing w:after="0"/>
              <w:rPr>
                <w:sz w:val="20"/>
                <w:szCs w:val="20"/>
              </w:rPr>
            </w:pPr>
            <w:r>
              <w:rPr>
                <w:rFonts w:ascii="Calibri" w:hAnsi="Calibri"/>
                <w:sz w:val="20"/>
                <w:szCs w:val="20"/>
              </w:rPr>
              <w:t>indexCombinedOI</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D6EC47E">
            <w:pPr>
              <w:spacing w:after="0"/>
              <w:rPr>
                <w:sz w:val="20"/>
                <w:szCs w:val="20"/>
              </w:rPr>
            </w:pPr>
            <w:r>
              <w:rPr>
                <w:rFonts w:ascii="Calibri" w:hAnsi="Calibri"/>
                <w:sz w:val="20"/>
                <w:szCs w:val="20"/>
              </w:rPr>
              <w:t>decimal or null</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486B252">
            <w:pPr>
              <w:spacing w:after="0"/>
              <w:rPr>
                <w:sz w:val="20"/>
                <w:szCs w:val="20"/>
              </w:rPr>
            </w:pPr>
            <w:r>
              <w:rPr>
                <w:rFonts w:ascii="Calibri" w:hAnsi="Calibri"/>
                <w:sz w:val="20"/>
                <w:szCs w:val="20"/>
              </w:rPr>
              <w:t>Current combined OI for the approved index futures contract set.</w:t>
            </w:r>
          </w:p>
        </w:tc>
      </w:tr>
      <w:tr w14:paraId="1A25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F0C4D60">
            <w:pPr>
              <w:spacing w:after="0"/>
              <w:rPr>
                <w:sz w:val="20"/>
                <w:szCs w:val="20"/>
              </w:rPr>
            </w:pPr>
            <w:r>
              <w:rPr>
                <w:rFonts w:ascii="Calibri" w:hAnsi="Calibri"/>
                <w:sz w:val="20"/>
                <w:szCs w:val="20"/>
              </w:rPr>
              <w:t>comparisonIndexCombinedOI</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087AA4F">
            <w:pPr>
              <w:spacing w:after="0"/>
              <w:rPr>
                <w:sz w:val="20"/>
                <w:szCs w:val="20"/>
              </w:rPr>
            </w:pPr>
            <w:r>
              <w:rPr>
                <w:rFonts w:ascii="Calibri" w:hAnsi="Calibri"/>
                <w:sz w:val="20"/>
                <w:szCs w:val="20"/>
              </w:rPr>
              <w:t>decimal or null</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AC5E4AF">
            <w:pPr>
              <w:spacing w:after="0"/>
              <w:rPr>
                <w:sz w:val="20"/>
                <w:szCs w:val="20"/>
              </w:rPr>
            </w:pPr>
            <w:r>
              <w:rPr>
                <w:rFonts w:ascii="Calibri" w:hAnsi="Calibri"/>
                <w:sz w:val="20"/>
                <w:szCs w:val="20"/>
              </w:rPr>
              <w:t>Comparison combined OI.</w:t>
            </w:r>
          </w:p>
        </w:tc>
      </w:tr>
      <w:tr w14:paraId="182E7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1C43A6F">
            <w:pPr>
              <w:spacing w:after="0"/>
              <w:rPr>
                <w:sz w:val="20"/>
                <w:szCs w:val="20"/>
              </w:rPr>
            </w:pPr>
            <w:r>
              <w:rPr>
                <w:rFonts w:ascii="Calibri" w:hAnsi="Calibri"/>
                <w:sz w:val="20"/>
                <w:szCs w:val="20"/>
              </w:rPr>
              <w:t>indexConditionMet</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EA08BEE">
            <w:pPr>
              <w:spacing w:after="0"/>
              <w:rPr>
                <w:sz w:val="20"/>
                <w:szCs w:val="20"/>
              </w:rPr>
            </w:pPr>
            <w:r>
              <w:rPr>
                <w:rFonts w:ascii="Calibri" w:hAnsi="Calibri"/>
                <w:sz w:val="20"/>
                <w:szCs w:val="20"/>
              </w:rPr>
              <w:t>bool or null</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8FADC48">
            <w:pPr>
              <w:spacing w:after="0"/>
              <w:rPr>
                <w:sz w:val="20"/>
                <w:szCs w:val="20"/>
              </w:rPr>
            </w:pPr>
            <w:r>
              <w:rPr>
                <w:rFonts w:ascii="Calibri" w:hAnsi="Calibri"/>
                <w:sz w:val="20"/>
                <w:szCs w:val="20"/>
              </w:rPr>
              <w:t>True only when index futures price and combined OI are both down; null when not requested/unavailable.</w:t>
            </w:r>
          </w:p>
        </w:tc>
      </w:tr>
      <w:tr w14:paraId="52880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A0819D0">
            <w:pPr>
              <w:spacing w:after="0"/>
              <w:rPr>
                <w:sz w:val="20"/>
                <w:szCs w:val="20"/>
              </w:rPr>
            </w:pPr>
            <w:r>
              <w:rPr>
                <w:rFonts w:ascii="Calibri" w:hAnsi="Calibri"/>
                <w:sz w:val="20"/>
                <w:szCs w:val="20"/>
              </w:rPr>
              <w:t>indexConditionGatesAlert</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2EEEDEB">
            <w:pPr>
              <w:spacing w:after="0"/>
              <w:rPr>
                <w:sz w:val="20"/>
                <w:szCs w:val="20"/>
              </w:rPr>
            </w:pPr>
            <w:r>
              <w:rPr>
                <w:rFonts w:ascii="Calibri" w:hAnsi="Calibri"/>
                <w:sz w:val="20"/>
                <w:szCs w:val="20"/>
              </w:rPr>
              <w:t>bool or null</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41CB5C7">
            <w:pPr>
              <w:spacing w:after="0"/>
              <w:rPr>
                <w:sz w:val="20"/>
                <w:szCs w:val="20"/>
              </w:rPr>
            </w:pPr>
            <w:r>
              <w:rPr>
                <w:rFonts w:ascii="Calibri" w:hAnsi="Calibri"/>
                <w:sz w:val="20"/>
                <w:szCs w:val="20"/>
              </w:rPr>
              <w:t>Not defined by supplied rules; leave null until confirmed.</w:t>
            </w:r>
          </w:p>
        </w:tc>
      </w:tr>
      <w:tr w14:paraId="02FF7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B28B717">
            <w:pPr>
              <w:spacing w:after="0"/>
              <w:rPr>
                <w:sz w:val="20"/>
                <w:szCs w:val="20"/>
              </w:rPr>
            </w:pPr>
            <w:r>
              <w:rPr>
                <w:rFonts w:ascii="Calibri" w:hAnsi="Calibri"/>
                <w:sz w:val="20"/>
                <w:szCs w:val="20"/>
              </w:rPr>
              <w:t>underlyingResults</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D827017">
            <w:pPr>
              <w:spacing w:after="0"/>
              <w:rPr>
                <w:sz w:val="20"/>
                <w:szCs w:val="20"/>
              </w:rPr>
            </w:pPr>
            <w:r>
              <w:rPr>
                <w:rFonts w:ascii="Calibri" w:hAnsi="Calibri"/>
                <w:sz w:val="20"/>
                <w:szCs w:val="20"/>
              </w:rPr>
              <w:t>array</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CC67601">
            <w:pPr>
              <w:spacing w:after="0"/>
              <w:rPr>
                <w:sz w:val="20"/>
                <w:szCs w:val="20"/>
              </w:rPr>
            </w:pPr>
            <w:r>
              <w:rPr>
                <w:rFonts w:ascii="Calibri" w:hAnsi="Calibri"/>
                <w:sz w:val="20"/>
                <w:szCs w:val="20"/>
              </w:rPr>
              <w:t>Per-underlying Long Unwinding comparisons.</w:t>
            </w:r>
          </w:p>
        </w:tc>
      </w:tr>
      <w:tr w14:paraId="56942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D1F412D">
            <w:pPr>
              <w:spacing w:after="0"/>
              <w:rPr>
                <w:sz w:val="20"/>
                <w:szCs w:val="20"/>
              </w:rPr>
            </w:pPr>
            <w:r>
              <w:rPr>
                <w:rFonts w:ascii="Calibri" w:hAnsi="Calibri"/>
                <w:sz w:val="20"/>
                <w:szCs w:val="20"/>
              </w:rPr>
              <w:t>ticker</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1378642">
            <w:pPr>
              <w:spacing w:after="0"/>
              <w:rPr>
                <w:sz w:val="20"/>
                <w:szCs w:val="20"/>
              </w:rPr>
            </w:pPr>
            <w:r>
              <w:rPr>
                <w:rFonts w:ascii="Calibri" w:hAnsi="Calibri"/>
                <w:sz w:val="20"/>
                <w:szCs w:val="20"/>
              </w:rPr>
              <w:t>string</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C9415F4">
            <w:pPr>
              <w:spacing w:after="0"/>
              <w:rPr>
                <w:sz w:val="20"/>
                <w:szCs w:val="20"/>
              </w:rPr>
            </w:pPr>
            <w:r>
              <w:rPr>
                <w:rFonts w:ascii="Calibri" w:hAnsi="Calibri"/>
                <w:sz w:val="20"/>
                <w:szCs w:val="20"/>
              </w:rPr>
              <w:t>Underlying symbol in underlyingResults.</w:t>
            </w:r>
          </w:p>
        </w:tc>
      </w:tr>
      <w:tr w14:paraId="31B26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E46607D">
            <w:pPr>
              <w:spacing w:after="0"/>
              <w:rPr>
                <w:sz w:val="20"/>
                <w:szCs w:val="20"/>
              </w:rPr>
            </w:pPr>
            <w:r>
              <w:rPr>
                <w:rFonts w:ascii="Calibri" w:hAnsi="Calibri"/>
                <w:sz w:val="20"/>
                <w:szCs w:val="20"/>
              </w:rPr>
              <w:t>price</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4CF5C51">
            <w:pPr>
              <w:spacing w:after="0"/>
              <w:rPr>
                <w:sz w:val="20"/>
                <w:szCs w:val="20"/>
              </w:rPr>
            </w:pPr>
            <w:r>
              <w:rPr>
                <w:rFonts w:ascii="Calibri" w:hAnsi="Calibri"/>
                <w:sz w:val="20"/>
                <w:szCs w:val="20"/>
              </w:rPr>
              <w:t>decimal</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66533F2">
            <w:pPr>
              <w:spacing w:after="0"/>
              <w:rPr>
                <w:sz w:val="20"/>
                <w:szCs w:val="20"/>
              </w:rPr>
            </w:pPr>
            <w:r>
              <w:rPr>
                <w:rFonts w:ascii="Calibri" w:hAnsi="Calibri"/>
                <w:sz w:val="20"/>
                <w:szCs w:val="20"/>
              </w:rPr>
              <w:t>Current price used for this underlying.</w:t>
            </w:r>
          </w:p>
        </w:tc>
      </w:tr>
      <w:tr w14:paraId="10EA4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CA07B1A">
            <w:pPr>
              <w:spacing w:after="0"/>
              <w:rPr>
                <w:sz w:val="20"/>
                <w:szCs w:val="20"/>
              </w:rPr>
            </w:pPr>
            <w:r>
              <w:rPr>
                <w:rFonts w:ascii="Calibri" w:hAnsi="Calibri"/>
                <w:sz w:val="20"/>
                <w:szCs w:val="20"/>
              </w:rPr>
              <w:t>comparisonPrice</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35739AF">
            <w:pPr>
              <w:spacing w:after="0"/>
              <w:rPr>
                <w:sz w:val="20"/>
                <w:szCs w:val="20"/>
              </w:rPr>
            </w:pPr>
            <w:r>
              <w:rPr>
                <w:rFonts w:ascii="Calibri" w:hAnsi="Calibri"/>
                <w:sz w:val="20"/>
                <w:szCs w:val="20"/>
              </w:rPr>
              <w:t>decimal</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6C2F587">
            <w:pPr>
              <w:spacing w:after="0"/>
              <w:rPr>
                <w:sz w:val="20"/>
                <w:szCs w:val="20"/>
              </w:rPr>
            </w:pPr>
            <w:r>
              <w:rPr>
                <w:rFonts w:ascii="Calibri" w:hAnsi="Calibri"/>
                <w:sz w:val="20"/>
                <w:szCs w:val="20"/>
              </w:rPr>
              <w:t>Prior comparison price.</w:t>
            </w:r>
          </w:p>
        </w:tc>
      </w:tr>
      <w:tr w14:paraId="3D96F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540B6CF">
            <w:pPr>
              <w:spacing w:after="0"/>
              <w:rPr>
                <w:sz w:val="20"/>
                <w:szCs w:val="20"/>
              </w:rPr>
            </w:pPr>
            <w:r>
              <w:rPr>
                <w:rFonts w:ascii="Calibri" w:hAnsi="Calibri"/>
                <w:sz w:val="20"/>
                <w:szCs w:val="20"/>
              </w:rPr>
              <w:t>openInterest</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8009CDE">
            <w:pPr>
              <w:spacing w:after="0"/>
              <w:rPr>
                <w:sz w:val="20"/>
                <w:szCs w:val="20"/>
              </w:rPr>
            </w:pPr>
            <w:r>
              <w:rPr>
                <w:rFonts w:ascii="Calibri" w:hAnsi="Calibri"/>
                <w:sz w:val="20"/>
                <w:szCs w:val="20"/>
              </w:rPr>
              <w:t>decimal</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13D393A">
            <w:pPr>
              <w:spacing w:after="0"/>
              <w:rPr>
                <w:sz w:val="20"/>
                <w:szCs w:val="20"/>
              </w:rPr>
            </w:pPr>
            <w:r>
              <w:rPr>
                <w:rFonts w:ascii="Calibri" w:hAnsi="Calibri"/>
                <w:sz w:val="20"/>
                <w:szCs w:val="20"/>
              </w:rPr>
              <w:t>Current OI used for this underlying.</w:t>
            </w:r>
          </w:p>
        </w:tc>
      </w:tr>
      <w:tr w14:paraId="0C6CC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A66298B">
            <w:pPr>
              <w:spacing w:after="0"/>
              <w:rPr>
                <w:sz w:val="20"/>
                <w:szCs w:val="20"/>
              </w:rPr>
            </w:pPr>
            <w:r>
              <w:rPr>
                <w:rFonts w:ascii="Calibri" w:hAnsi="Calibri"/>
                <w:sz w:val="20"/>
                <w:szCs w:val="20"/>
              </w:rPr>
              <w:t>comparisonOpenInterest</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43DB2F4">
            <w:pPr>
              <w:spacing w:after="0"/>
              <w:rPr>
                <w:sz w:val="20"/>
                <w:szCs w:val="20"/>
              </w:rPr>
            </w:pPr>
            <w:r>
              <w:rPr>
                <w:rFonts w:ascii="Calibri" w:hAnsi="Calibri"/>
                <w:sz w:val="20"/>
                <w:szCs w:val="20"/>
              </w:rPr>
              <w:t>decimal</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CFBC8CB">
            <w:pPr>
              <w:spacing w:after="0"/>
              <w:rPr>
                <w:sz w:val="20"/>
                <w:szCs w:val="20"/>
              </w:rPr>
            </w:pPr>
            <w:r>
              <w:rPr>
                <w:rFonts w:ascii="Calibri" w:hAnsi="Calibri"/>
                <w:sz w:val="20"/>
                <w:szCs w:val="20"/>
              </w:rPr>
              <w:t>Prior comparison OI.</w:t>
            </w:r>
          </w:p>
        </w:tc>
      </w:tr>
      <w:tr w14:paraId="4346A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BF9547A">
            <w:pPr>
              <w:spacing w:after="0"/>
              <w:rPr>
                <w:sz w:val="20"/>
                <w:szCs w:val="20"/>
              </w:rPr>
            </w:pPr>
            <w:r>
              <w:rPr>
                <w:rFonts w:ascii="Calibri" w:hAnsi="Calibri"/>
                <w:sz w:val="20"/>
                <w:szCs w:val="20"/>
              </w:rPr>
              <w:t>isLongUnwinding</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E0916F8">
            <w:pPr>
              <w:spacing w:after="0"/>
              <w:rPr>
                <w:sz w:val="20"/>
                <w:szCs w:val="20"/>
              </w:rPr>
            </w:pPr>
            <w:r>
              <w:rPr>
                <w:rFonts w:ascii="Calibri" w:hAnsi="Calibri"/>
                <w:sz w:val="20"/>
                <w:szCs w:val="20"/>
              </w:rPr>
              <w:t>bool</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C96FB61">
            <w:pPr>
              <w:spacing w:after="0"/>
              <w:rPr>
                <w:sz w:val="20"/>
                <w:szCs w:val="20"/>
              </w:rPr>
            </w:pPr>
            <w:r>
              <w:rPr>
                <w:rFonts w:ascii="Calibri" w:hAnsi="Calibri"/>
                <w:sz w:val="20"/>
                <w:szCs w:val="20"/>
              </w:rPr>
              <w:t>True when both current Price and OI are strictly below their comparison values.</w:t>
            </w:r>
          </w:p>
        </w:tc>
      </w:tr>
      <w:tr w14:paraId="1E9B4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4C00D55">
            <w:pPr>
              <w:spacing w:after="0"/>
              <w:rPr>
                <w:sz w:val="20"/>
                <w:szCs w:val="20"/>
              </w:rPr>
            </w:pPr>
            <w:r>
              <w:rPr>
                <w:rFonts w:ascii="Calibri" w:hAnsi="Calibri"/>
                <w:sz w:val="20"/>
                <w:szCs w:val="20"/>
              </w:rPr>
              <w:t>observationTime</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CCF3804">
            <w:pPr>
              <w:spacing w:after="0"/>
              <w:rPr>
                <w:sz w:val="20"/>
                <w:szCs w:val="20"/>
              </w:rPr>
            </w:pPr>
            <w:r>
              <w:rPr>
                <w:rFonts w:ascii="Calibri" w:hAnsi="Calibri"/>
                <w:sz w:val="20"/>
                <w:szCs w:val="20"/>
              </w:rPr>
              <w:t>string</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04B3D79">
            <w:pPr>
              <w:spacing w:after="0"/>
              <w:rPr>
                <w:sz w:val="20"/>
                <w:szCs w:val="20"/>
              </w:rPr>
            </w:pPr>
            <w:r>
              <w:rPr>
                <w:rFonts w:ascii="Calibri" w:hAnsi="Calibri"/>
                <w:sz w:val="20"/>
                <w:szCs w:val="20"/>
              </w:rPr>
              <w:t>Timestamp/date of current values.</w:t>
            </w:r>
          </w:p>
        </w:tc>
      </w:tr>
      <w:tr w14:paraId="18FBB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8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09B7DED">
            <w:pPr>
              <w:spacing w:after="0"/>
              <w:rPr>
                <w:sz w:val="20"/>
                <w:szCs w:val="20"/>
              </w:rPr>
            </w:pPr>
            <w:r>
              <w:rPr>
                <w:rFonts w:ascii="Calibri" w:hAnsi="Calibri"/>
                <w:sz w:val="20"/>
                <w:szCs w:val="20"/>
              </w:rPr>
              <w:t>comparisonTime</w:t>
            </w:r>
          </w:p>
        </w:tc>
        <w:tc>
          <w:tcPr>
            <w:tcW w:w="18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B5744FF">
            <w:pPr>
              <w:spacing w:after="0"/>
              <w:rPr>
                <w:sz w:val="20"/>
                <w:szCs w:val="20"/>
              </w:rPr>
            </w:pPr>
            <w:r>
              <w:rPr>
                <w:rFonts w:ascii="Calibri" w:hAnsi="Calibri"/>
                <w:sz w:val="20"/>
                <w:szCs w:val="20"/>
              </w:rPr>
              <w:t>string</w:t>
            </w:r>
          </w:p>
        </w:tc>
        <w:tc>
          <w:tcPr>
            <w:tcW w:w="514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4897A02">
            <w:pPr>
              <w:spacing w:after="0"/>
              <w:rPr>
                <w:sz w:val="20"/>
                <w:szCs w:val="20"/>
              </w:rPr>
            </w:pPr>
            <w:r>
              <w:rPr>
                <w:rFonts w:ascii="Calibri" w:hAnsi="Calibri"/>
                <w:sz w:val="20"/>
                <w:szCs w:val="20"/>
              </w:rPr>
              <w:t>Timestamp/date of comparison values.</w:t>
            </w:r>
          </w:p>
        </w:tc>
      </w:tr>
    </w:tbl>
    <w:p w14:paraId="23399060">
      <w:pPr>
        <w:pStyle w:val="4"/>
        <w:bidi w:val="0"/>
      </w:pPr>
      <w:r>
        <w:t>Illustrative JSON — EOD market-level alert</w:t>
      </w:r>
    </w:p>
    <w:p w14:paraId="34263741">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p>
    <w:p w14:paraId="5E0AD927">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w:t>
      </w:r>
    </w:p>
    <w:p w14:paraId="5568EADB">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"timeStamp": "2026-10-14T16:00:00+05:30",</w:t>
      </w:r>
    </w:p>
    <w:p w14:paraId="6EE98931">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"exchange": "NSE",</w:t>
      </w:r>
    </w:p>
    <w:p w14:paraId="0B9B876C">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"alertType": "LongUnwindingAlert",</w:t>
      </w:r>
    </w:p>
    <w:p w14:paraId="2561DAD9">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"evaluationMode": "EOD",</w:t>
      </w:r>
    </w:p>
    <w:p w14:paraId="00687704">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"isProvisional": false,</w:t>
      </w:r>
    </w:p>
    <w:p w14:paraId="6C21BEF4">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"evaluationStatus": "Evaluated",</w:t>
      </w:r>
    </w:p>
    <w:p w14:paraId="3E6F5C53">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"evaluationDate": "2026-10-14",</w:t>
      </w:r>
    </w:p>
    <w:p w14:paraId="5BBAAAFB">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"totalFnoUnderlyings": 1,</w:t>
      </w:r>
    </w:p>
    <w:p w14:paraId="56BC507C">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"evaluatedUnderlyings": 1,</w:t>
      </w:r>
    </w:p>
    <w:p w14:paraId="5D1CE176">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"longUnwindingCount": 1,</w:t>
      </w:r>
    </w:p>
    <w:p w14:paraId="252604CD">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"luPercent": 100.0,</w:t>
      </w:r>
    </w:p>
    <w:p w14:paraId="3FE16AEC">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"thresholdPercent": 30.0,</w:t>
      </w:r>
    </w:p>
    <w:p w14:paraId="40FF9DBE">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"marketLevelAlertDetected": true,</w:t>
      </w:r>
    </w:p>
    <w:p w14:paraId="2D1FB10A">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"indexName": null,</w:t>
      </w:r>
    </w:p>
    <w:p w14:paraId="79EDED6B">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"indexPrice": null,</w:t>
      </w:r>
    </w:p>
    <w:p w14:paraId="0CDFE743">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"comparisonIndexPrice": null,</w:t>
      </w:r>
    </w:p>
    <w:p w14:paraId="2DBE29B4">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"indexCombinedOI": null,</w:t>
      </w:r>
    </w:p>
    <w:p w14:paraId="6F55984F">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"comparisonIndexCombinedOI": null,</w:t>
      </w:r>
    </w:p>
    <w:p w14:paraId="4A54DBB8">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"indexConditionMet": null,</w:t>
      </w:r>
    </w:p>
    <w:p w14:paraId="1F6D397F">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"indexConditionGatesAlert": null,</w:t>
      </w:r>
    </w:p>
    <w:p w14:paraId="531E30CD">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"underlyingResults": [</w:t>
      </w:r>
    </w:p>
    <w:p w14:paraId="7B2625C7">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40F883CB">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"ticker": "ABC",</w:t>
      </w:r>
    </w:p>
    <w:p w14:paraId="0928D7C1">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"price": 98.0,</w:t>
      </w:r>
    </w:p>
    <w:p w14:paraId="35D735F2">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"comparisonPrice": 100.0,</w:t>
      </w:r>
    </w:p>
    <w:p w14:paraId="5CA47681">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"openInterest": 90000,</w:t>
      </w:r>
    </w:p>
    <w:p w14:paraId="4D76C6C1">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"comparisonOpenInterest": 100000,</w:t>
      </w:r>
    </w:p>
    <w:p w14:paraId="6B487AC6">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"isLongUnwinding": true,</w:t>
      </w:r>
    </w:p>
    <w:p w14:paraId="753B5DB5">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"observationTime": "2026-10-14",</w:t>
      </w:r>
    </w:p>
    <w:p w14:paraId="31B9EBDE">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"comparisonTime": "2026-10-13"</w:t>
      </w:r>
    </w:p>
    <w:p w14:paraId="528BBDBF">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726A3D48">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21370D65">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w:t>
      </w:r>
    </w:p>
    <w:p w14:paraId="4A77048C">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p>
    <w:p w14:paraId="57458686">
      <w:pPr>
        <w:pStyle w:val="4"/>
        <w:bidi w:val="0"/>
      </w:pPr>
      <w:r>
        <w:t>Illustrative JSON — Live scheduled evaluation</w:t>
      </w:r>
    </w:p>
    <w:p w14:paraId="5E77C625">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w:t>
      </w:r>
    </w:p>
    <w:p w14:paraId="305BF2FD">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"timeStamp": "2026-10-14T11:00:00+05:30",</w:t>
      </w:r>
    </w:p>
    <w:p w14:paraId="4E3F0C75">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"exchange": "NSE",</w:t>
      </w:r>
    </w:p>
    <w:p w14:paraId="6E5D5D07">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"alertType": "LongUnwindingAlert",</w:t>
      </w:r>
    </w:p>
    <w:p w14:paraId="667D3A4E">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"evaluationMode": "Live",</w:t>
      </w:r>
    </w:p>
    <w:p w14:paraId="2F02D523">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"isProvisional": true,</w:t>
      </w:r>
    </w:p>
    <w:p w14:paraId="4C51DC1E">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"evaluationStatus": "Evaluated",</w:t>
      </w:r>
    </w:p>
    <w:p w14:paraId="6E87062B">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"evaluationDate": "2026-10-14",</w:t>
      </w:r>
    </w:p>
    <w:p w14:paraId="139D4D60">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"totalFnoUnderlyings": 1,</w:t>
      </w:r>
    </w:p>
    <w:p w14:paraId="105911BE">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"evaluatedUnderlyings": 1,</w:t>
      </w:r>
    </w:p>
    <w:p w14:paraId="45F8FC63">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"longUnwindingCount": 1,</w:t>
      </w:r>
    </w:p>
    <w:p w14:paraId="37A06BD7">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"luPercent": 100.0,</w:t>
      </w:r>
    </w:p>
    <w:p w14:paraId="1700BAD2">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"thresholdPercent": 30.0,</w:t>
      </w:r>
    </w:p>
    <w:p w14:paraId="2ED983D1">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"marketLevelAlertDetected": true,</w:t>
      </w:r>
    </w:p>
    <w:p w14:paraId="318B9420">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"indexName": "Nifty",</w:t>
      </w:r>
    </w:p>
    <w:p w14:paraId="5F075255">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"indexPrice": 24900.0,</w:t>
      </w:r>
    </w:p>
    <w:p w14:paraId="03E6950D">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"comparisonIndexPrice": 24950.0,</w:t>
      </w:r>
    </w:p>
    <w:p w14:paraId="2E9F772A">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"indexCombinedOI": 1250000,</w:t>
      </w:r>
    </w:p>
    <w:p w14:paraId="1E21FDE4">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"comparisonIndexCombinedOI": 1300000,</w:t>
      </w:r>
    </w:p>
    <w:p w14:paraId="6E182A3F">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"indexConditionMet": true,</w:t>
      </w:r>
    </w:p>
    <w:p w14:paraId="4DBFDDD8">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"indexConditionGatesAlert": null,</w:t>
      </w:r>
    </w:p>
    <w:p w14:paraId="1C2A3295">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"underlyingResults": [</w:t>
      </w:r>
    </w:p>
    <w:p w14:paraId="564A31A0">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7B57C697">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"ticker": "ABC",</w:t>
      </w:r>
    </w:p>
    <w:p w14:paraId="042FA841">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"price": 98.0,</w:t>
      </w:r>
    </w:p>
    <w:p w14:paraId="02062629">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"comparisonPrice": 100.0,</w:t>
      </w:r>
    </w:p>
    <w:p w14:paraId="34643035">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"openInterest": 90000,</w:t>
      </w:r>
    </w:p>
    <w:p w14:paraId="377DFD3D">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"comparisonOpenInterest": 100000,</w:t>
      </w:r>
    </w:p>
    <w:p w14:paraId="139C050F">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"isLongUnwinding": true,</w:t>
      </w:r>
    </w:p>
    <w:p w14:paraId="0C0F6F00">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"observationTime": "2026-10-14T11:00:00+05:30",</w:t>
      </w:r>
    </w:p>
    <w:p w14:paraId="07DE58CD">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"comparisonTime": "2026-10-14T10:45:00+05:30"</w:t>
      </w:r>
    </w:p>
    <w:p w14:paraId="42D701B6">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05B359C1">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1F830933">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w:t>
      </w:r>
    </w:p>
    <w:p w14:paraId="16166014">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p>
    <w:p w14:paraId="73643E92"/>
    <w:p w14:paraId="4FEA15BB">
      <w:pPr>
        <w:pStyle w:val="15"/>
        <w:rPr>
          <w:rFonts w:hint="default" w:ascii="Calibri" w:hAnsi="Calibri" w:cs="Calibri"/>
          <w:sz w:val="22"/>
          <w:szCs w:val="22"/>
        </w:rPr>
      </w:pPr>
      <w:r>
        <w:rPr>
          <w:rFonts w:hint="default" w:ascii="Calibri" w:hAnsi="Calibri" w:cs="Calibri"/>
          <w:sz w:val="22"/>
          <w:szCs w:val="22"/>
        </w:rPr>
        <w:t>All JSON values are illustrative. The Live example shows a snapshot evaluation; its comparison reference must be agreed before implementation. The optional index condition is reported independently because the supplied rule does not state whether it gates the market-level alert.</w:t>
      </w:r>
    </w:p>
    <w:p w14:paraId="20FD025C">
      <w:pPr>
        <w:pStyle w:val="4"/>
      </w:pPr>
      <w:r>
        <w:t>4. Data Required and Data Sources</w:t>
      </w:r>
    </w:p>
    <w:p w14:paraId="0F249D24">
      <w:pPr>
        <w:pStyle w:val="15"/>
        <w:rPr>
          <w:rFonts w:hint="default" w:ascii="Calibri" w:hAnsi="Calibri" w:cs="Calibri"/>
          <w:sz w:val="22"/>
          <w:szCs w:val="22"/>
        </w:rPr>
      </w:pPr>
      <w:r>
        <w:rPr>
          <w:rFonts w:hint="default" w:ascii="Calibri" w:hAnsi="Calibri" w:cs="Calibri"/>
          <w:sz w:val="22"/>
          <w:szCs w:val="22"/>
        </w:rPr>
        <w:t>Use established SQLite and security-master conventions for universe resolution and historical prices. The F&amp;O universe and the futures OI mapping must be resolved from the configured instrument/security data; do not infer missing contracts.</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77"/>
        <w:gridCol w:w="3612"/>
        <w:gridCol w:w="3341"/>
      </w:tblGrid>
      <w:tr w14:paraId="37F9A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77"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195DC1E3">
            <w:pPr>
              <w:spacing w:after="0"/>
            </w:pPr>
            <w:r>
              <w:rPr>
                <w:rFonts w:ascii="Calibri" w:hAnsi="Calibri"/>
                <w:b/>
                <w:sz w:val="21"/>
              </w:rPr>
              <w:t>Data</w:t>
            </w:r>
          </w:p>
        </w:tc>
        <w:tc>
          <w:tcPr>
            <w:tcW w:w="3612"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1E28C9D1">
            <w:pPr>
              <w:spacing w:after="0"/>
            </w:pPr>
            <w:r>
              <w:rPr>
                <w:rFonts w:ascii="Calibri" w:hAnsi="Calibri"/>
                <w:b/>
                <w:sz w:val="21"/>
              </w:rPr>
              <w:t>Source</w:t>
            </w:r>
          </w:p>
        </w:tc>
        <w:tc>
          <w:tcPr>
            <w:tcW w:w="3341"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0628BEC4">
            <w:pPr>
              <w:spacing w:after="0"/>
            </w:pPr>
            <w:r>
              <w:rPr>
                <w:rFonts w:ascii="Calibri" w:hAnsi="Calibri"/>
                <w:b/>
                <w:sz w:val="21"/>
              </w:rPr>
              <w:t>Purpose</w:t>
            </w:r>
          </w:p>
        </w:tc>
      </w:tr>
      <w:tr w14:paraId="1DC1B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2C7740E">
            <w:pPr>
              <w:spacing w:after="0"/>
              <w:rPr>
                <w:sz w:val="18"/>
                <w:szCs w:val="18"/>
              </w:rPr>
            </w:pPr>
            <w:r>
              <w:rPr>
                <w:rFonts w:ascii="Calibri" w:hAnsi="Calibri"/>
                <w:sz w:val="18"/>
                <w:szCs w:val="18"/>
              </w:rPr>
              <w:t>F&amp;O security universe</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96B5866">
            <w:pPr>
              <w:spacing w:after="0"/>
              <w:rPr>
                <w:sz w:val="18"/>
                <w:szCs w:val="18"/>
              </w:rPr>
            </w:pPr>
            <w:r>
              <w:rPr>
                <w:rFonts w:ascii="Calibri" w:hAnsi="Calibri"/>
                <w:sz w:val="18"/>
                <w:szCs w:val="18"/>
              </w:rPr>
              <w:t>ChartPatternSqliteService.GetSecurityMasterAsync / masterdetail and configured derivatives instrument mapping</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FD6D161">
            <w:pPr>
              <w:spacing w:after="0"/>
              <w:rPr>
                <w:sz w:val="18"/>
                <w:szCs w:val="18"/>
              </w:rPr>
            </w:pPr>
            <w:r>
              <w:rPr>
                <w:rFonts w:ascii="Calibri" w:hAnsi="Calibri"/>
                <w:sz w:val="18"/>
                <w:szCs w:val="18"/>
              </w:rPr>
              <w:t>Resolve F&amp;O underlyings and the denominator universe.</w:t>
            </w:r>
          </w:p>
        </w:tc>
      </w:tr>
      <w:tr w14:paraId="24E61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7F78111">
            <w:pPr>
              <w:spacing w:after="0"/>
              <w:rPr>
                <w:sz w:val="18"/>
                <w:szCs w:val="18"/>
              </w:rPr>
            </w:pPr>
            <w:r>
              <w:rPr>
                <w:rFonts w:ascii="Calibri" w:hAnsi="Calibri"/>
                <w:sz w:val="18"/>
                <w:szCs w:val="18"/>
              </w:rPr>
              <w:t>Historical daily price</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7A4D9FC">
            <w:pPr>
              <w:spacing w:after="0"/>
              <w:rPr>
                <w:sz w:val="18"/>
                <w:szCs w:val="18"/>
              </w:rPr>
            </w:pPr>
            <w:r>
              <w:rPr>
                <w:rFonts w:ascii="Calibri" w:hAnsi="Calibri"/>
                <w:sz w:val="18"/>
                <w:szCs w:val="18"/>
              </w:rPr>
              <w:t>SQLite historical bar table; Bars, Dates, Symbols</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40D6D8B">
            <w:pPr>
              <w:spacing w:after="0"/>
              <w:rPr>
                <w:sz w:val="18"/>
                <w:szCs w:val="18"/>
              </w:rPr>
            </w:pPr>
            <w:r>
              <w:rPr>
                <w:rFonts w:ascii="Calibri" w:hAnsi="Calibri"/>
                <w:sz w:val="18"/>
                <w:szCs w:val="18"/>
              </w:rPr>
              <w:t>Read completed daily price values for t and t-1.</w:t>
            </w:r>
          </w:p>
        </w:tc>
      </w:tr>
      <w:tr w14:paraId="0158B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C79CE4E">
            <w:pPr>
              <w:spacing w:after="0"/>
              <w:rPr>
                <w:sz w:val="18"/>
                <w:szCs w:val="18"/>
              </w:rPr>
            </w:pPr>
            <w:r>
              <w:rPr>
                <w:rFonts w:ascii="Calibri" w:hAnsi="Calibri"/>
                <w:sz w:val="18"/>
                <w:szCs w:val="18"/>
              </w:rPr>
              <w:t>Historical daily OI</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22DF05A">
            <w:pPr>
              <w:spacing w:after="0"/>
              <w:rPr>
                <w:sz w:val="18"/>
                <w:szCs w:val="18"/>
              </w:rPr>
            </w:pPr>
            <w:r>
              <w:rPr>
                <w:rFonts w:ascii="Calibri" w:hAnsi="Calibri"/>
                <w:sz w:val="18"/>
                <w:szCs w:val="18"/>
              </w:rPr>
              <w:t>Existing EOD derivatives/OI source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D1DB7F3">
            <w:pPr>
              <w:spacing w:after="0"/>
              <w:rPr>
                <w:sz w:val="18"/>
                <w:szCs w:val="18"/>
              </w:rPr>
            </w:pPr>
            <w:r>
              <w:rPr>
                <w:rFonts w:ascii="Calibri" w:hAnsi="Calibri"/>
                <w:sz w:val="18"/>
                <w:szCs w:val="18"/>
              </w:rPr>
              <w:t>Read comparable daily OI for each underlying. Exact source field must be mapped.</w:t>
            </w:r>
          </w:p>
        </w:tc>
      </w:tr>
      <w:tr w14:paraId="238F4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FB22FA4">
            <w:pPr>
              <w:spacing w:after="0"/>
              <w:rPr>
                <w:sz w:val="18"/>
                <w:szCs w:val="18"/>
              </w:rPr>
            </w:pPr>
            <w:r>
              <w:rPr>
                <w:rFonts w:ascii="Calibri" w:hAnsi="Calibri"/>
                <w:sz w:val="18"/>
                <w:szCs w:val="18"/>
              </w:rPr>
              <w:t>Live price and OI</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64DA53D">
            <w:pPr>
              <w:spacing w:after="0"/>
              <w:rPr>
                <w:sz w:val="18"/>
                <w:szCs w:val="18"/>
              </w:rPr>
            </w:pPr>
            <w:r>
              <w:rPr>
                <w:rFonts w:ascii="Calibri" w:hAnsi="Calibri"/>
                <w:sz w:val="18"/>
                <w:szCs w:val="18"/>
              </w:rPr>
              <w:t>Existing Live derivatives market-data source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A4CD3BD">
            <w:pPr>
              <w:spacing w:after="0"/>
              <w:rPr>
                <w:sz w:val="18"/>
                <w:szCs w:val="18"/>
              </w:rPr>
            </w:pPr>
            <w:r>
              <w:rPr>
                <w:rFonts w:ascii="Calibri" w:hAnsi="Calibri"/>
                <w:sz w:val="18"/>
                <w:szCs w:val="18"/>
              </w:rPr>
              <w:t>Read current price and OI snapshots for 15-minute scheduled evaluation.</w:t>
            </w:r>
          </w:p>
        </w:tc>
      </w:tr>
      <w:tr w14:paraId="24041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4A23137">
            <w:pPr>
              <w:spacing w:after="0"/>
              <w:rPr>
                <w:sz w:val="18"/>
                <w:szCs w:val="18"/>
              </w:rPr>
            </w:pPr>
            <w:r>
              <w:rPr>
                <w:rFonts w:ascii="Calibri" w:hAnsi="Calibri"/>
                <w:sz w:val="18"/>
                <w:szCs w:val="18"/>
              </w:rPr>
              <w:t>Index futures mapping</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3898A60">
            <w:pPr>
              <w:spacing w:after="0"/>
              <w:rPr>
                <w:sz w:val="18"/>
                <w:szCs w:val="18"/>
              </w:rPr>
            </w:pPr>
            <w:r>
              <w:rPr>
                <w:rFonts w:ascii="Calibri" w:hAnsi="Calibri"/>
                <w:sz w:val="18"/>
                <w:szCs w:val="18"/>
              </w:rPr>
              <w:t>Security master / derivatives instrument mapping</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5BFD2BB">
            <w:pPr>
              <w:spacing w:after="0"/>
              <w:rPr>
                <w:sz w:val="18"/>
                <w:szCs w:val="18"/>
              </w:rPr>
            </w:pPr>
            <w:r>
              <w:rPr>
                <w:rFonts w:ascii="Calibri" w:hAnsi="Calibri"/>
                <w:sz w:val="18"/>
                <w:szCs w:val="18"/>
              </w:rPr>
              <w:t>Resolve optional Nifty or Bank Nifty futures and applicable OI contracts.</w:t>
            </w:r>
          </w:p>
        </w:tc>
      </w:tr>
      <w:tr w14:paraId="48476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E8482BF">
            <w:pPr>
              <w:spacing w:after="0"/>
              <w:rPr>
                <w:sz w:val="18"/>
                <w:szCs w:val="18"/>
              </w:rPr>
            </w:pPr>
            <w:r>
              <w:rPr>
                <w:rFonts w:ascii="Calibri" w:hAnsi="Calibri"/>
                <w:sz w:val="18"/>
                <w:szCs w:val="18"/>
              </w:rPr>
              <w:t>Market timing</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017C772">
            <w:pPr>
              <w:spacing w:after="0"/>
              <w:rPr>
                <w:sz w:val="18"/>
                <w:szCs w:val="18"/>
              </w:rPr>
            </w:pPr>
            <w:r>
              <w:rPr>
                <w:rFonts w:ascii="Calibri" w:hAnsi="Calibri"/>
                <w:sz w:val="18"/>
                <w:szCs w:val="18"/>
              </w:rPr>
              <w:t>MarketTimingRepository / Market_State_Timings through IMarketStatusService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6EC8540">
            <w:pPr>
              <w:spacing w:after="0"/>
              <w:rPr>
                <w:sz w:val="18"/>
                <w:szCs w:val="18"/>
              </w:rPr>
            </w:pPr>
            <w:r>
              <w:rPr>
                <w:rFonts w:ascii="Calibri" w:hAnsi="Calibri"/>
                <w:sz w:val="18"/>
                <w:szCs w:val="18"/>
              </w:rPr>
              <w:t>Gate Live evaluations on configured exchange/segment status.</w:t>
            </w:r>
          </w:p>
        </w:tc>
      </w:tr>
      <w:tr w14:paraId="28EDD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9F07790">
            <w:pPr>
              <w:spacing w:after="0"/>
              <w:rPr>
                <w:sz w:val="18"/>
                <w:szCs w:val="18"/>
              </w:rPr>
            </w:pPr>
            <w:r>
              <w:rPr>
                <w:rFonts w:ascii="Calibri" w:hAnsi="Calibri"/>
                <w:sz w:val="18"/>
                <w:szCs w:val="18"/>
              </w:rPr>
              <w:t>Bars / Dates / Symbols</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D93873A">
            <w:pPr>
              <w:spacing w:after="0"/>
              <w:rPr>
                <w:sz w:val="18"/>
                <w:szCs w:val="18"/>
              </w:rPr>
            </w:pPr>
            <w:r>
              <w:rPr>
                <w:rFonts w:ascii="Calibri" w:hAnsi="Calibri"/>
                <w:sz w:val="18"/>
                <w:szCs w:val="18"/>
              </w:rPr>
              <w:t>SQLite reference tables</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F840840">
            <w:pPr>
              <w:spacing w:after="0"/>
              <w:rPr>
                <w:sz w:val="18"/>
                <w:szCs w:val="18"/>
              </w:rPr>
            </w:pPr>
            <w:r>
              <w:rPr>
                <w:rFonts w:ascii="Calibri" w:hAnsi="Calibri"/>
                <w:sz w:val="18"/>
                <w:szCs w:val="18"/>
              </w:rPr>
              <w:t>Select daily bars, order trading dates, and map symbols/exchanges.</w:t>
            </w:r>
          </w:p>
        </w:tc>
      </w:tr>
    </w:tbl>
    <w:p w14:paraId="579A7612">
      <w:pPr>
        <w:pStyle w:val="4"/>
      </w:pPr>
      <w:r>
        <w:t>5. Historical Data Requirement</w:t>
      </w:r>
    </w:p>
    <w:p w14:paraId="79D773B4">
      <w:pPr>
        <w:pStyle w:val="15"/>
        <w:rPr>
          <w:rFonts w:hint="default" w:ascii="Calibri" w:hAnsi="Calibri" w:cs="Calibri"/>
          <w:sz w:val="22"/>
          <w:szCs w:val="22"/>
        </w:rPr>
      </w:pPr>
      <w:r>
        <w:rPr>
          <w:rFonts w:hint="default" w:ascii="Calibri" w:hAnsi="Calibri" w:cs="Calibri"/>
          <w:sz w:val="22"/>
          <w:szCs w:val="22"/>
        </w:rPr>
        <w:t>EOD per-underlying comparison requires two comparable daily observations for each member: current t and prior t-1. Thus, the minimum price/OI history is two daily observations. The market percentage is computed over all underlyings in the configured F&amp;O universe for the same evaluation date.</w:t>
      </w:r>
    </w:p>
    <w:p w14:paraId="59E53A8A">
      <w:pPr>
        <w:pStyle w:val="15"/>
        <w:rPr>
          <w:rFonts w:hint="default" w:ascii="Calibri" w:hAnsi="Calibri" w:cs="Calibri"/>
          <w:sz w:val="22"/>
          <w:szCs w:val="22"/>
        </w:rPr>
      </w:pPr>
      <w:r>
        <w:rPr>
          <w:rFonts w:hint="default" w:ascii="Calibri" w:hAnsi="Calibri" w:cs="Calibri"/>
          <w:sz w:val="22"/>
          <w:szCs w:val="22"/>
        </w:rPr>
        <w:t>Live mode requires the current Live price/OI snapshot and an agreed comparison observation. The supplied rule does not define whether t-1 in Live means the previous scheduled Live snapshot or the latest completed EOD observation. Confirm this before implementation; do not treat a 15-minute interval as a candle.</w:t>
      </w:r>
    </w:p>
    <w:p w14:paraId="559EF3D4">
      <w:pPr>
        <w:pStyle w:val="15"/>
      </w:pPr>
      <w:r>
        <w:rPr>
          <w:rFonts w:hint="default" w:ascii="Calibri" w:hAnsi="Calibri" w:cs="Calibri"/>
          <w:sz w:val="22"/>
          <w:szCs w:val="22"/>
        </w:rPr>
        <w:t>If the optional index check is requested, it requires two comparable price and combined OI observations. The contract set and expiry aggregation used for combined OI are not specified and must be confirmed.</w:t>
      </w:r>
    </w:p>
    <w:p w14:paraId="3A43715E">
      <w:pPr>
        <w:pStyle w:val="4"/>
      </w:pPr>
      <w:r>
        <w:t>6. Computation Logic</w:t>
      </w:r>
    </w:p>
    <w:p w14:paraId="535F8E55">
      <w:pPr>
        <w:pStyle w:val="4"/>
      </w:pPr>
      <w:r>
        <w:t>6.1 Resolve the F&amp;O Underlying Universe</w:t>
      </w:r>
    </w:p>
    <w:p w14:paraId="45671DBF">
      <w:pPr>
        <w:pStyle w:val="15"/>
        <w:rPr>
          <w:rFonts w:hint="default" w:ascii="Calibri" w:hAnsi="Calibri" w:cs="Calibri"/>
          <w:sz w:val="22"/>
          <w:szCs w:val="22"/>
        </w:rPr>
      </w:pPr>
      <w:r>
        <w:rPr>
          <w:rFonts w:hint="default" w:ascii="Calibri" w:hAnsi="Calibri" w:cs="Calibri"/>
          <w:sz w:val="22"/>
          <w:szCs w:val="22"/>
        </w:rPr>
        <w:t>Load the configured F&amp;O underlying set for the requested exchange and evaluation date. The total universe count is the denominator. The exact inclusion/exclusion policy for newly listed, expired, suspended, or unavailable underlyings must follow the configured universe convention and be confirmed.</w:t>
      </w:r>
    </w:p>
    <w:p w14:paraId="11B0BA99">
      <w:pPr>
        <w:pStyle w:val="4"/>
      </w:pPr>
      <w:r>
        <w:t>6.2 Evaluate Long Unwinding per Underlying</w:t>
      </w:r>
    </w:p>
    <w:p w14:paraId="3089A9AE">
      <w:pPr>
        <w:pStyle w:val="15"/>
        <w:rPr>
          <w:rFonts w:hint="default" w:ascii="Calibri" w:hAnsi="Calibri" w:cs="Calibri"/>
          <w:sz w:val="22"/>
          <w:szCs w:val="22"/>
        </w:rPr>
      </w:pPr>
      <w:r>
        <w:rPr>
          <w:rFonts w:hint="default" w:ascii="Calibri" w:hAnsi="Calibri" w:cs="Calibri"/>
          <w:sz w:val="22"/>
          <w:szCs w:val="22"/>
        </w:rPr>
        <w:t>For each underlying u, compare Price[u,t] with Price[u,t-1] and OI[u,t] with OI[u,t-1]. Mark Long Unwinding only when both strict conditions are true: Price[u,t] &lt; Price[u,t-1] AND OI[u,t] &lt; OI[u,t-1].</w:t>
      </w:r>
    </w:p>
    <w:p w14:paraId="5F9ACA8B">
      <w:pPr>
        <w:pStyle w:val="15"/>
        <w:rPr>
          <w:rFonts w:hint="default" w:ascii="Calibri" w:hAnsi="Calibri" w:cs="Calibri"/>
          <w:sz w:val="22"/>
          <w:szCs w:val="22"/>
        </w:rPr>
      </w:pPr>
      <w:r>
        <w:rPr>
          <w:rFonts w:hint="default" w:ascii="Calibri" w:hAnsi="Calibri" w:cs="Calibri"/>
          <w:sz w:val="22"/>
          <w:szCs w:val="22"/>
        </w:rPr>
        <w:t>The supplied rule names Price but does not specify the price field. Daily Close is a possible EOD mapping; current traded/last price is a possible Live mapping. Confirm the field and comparison reference before implementation. Confirm whether OI is for a selected futures expiry or aggregated contracts per underlying.</w:t>
      </w:r>
    </w:p>
    <w:p w14:paraId="23E75E51">
      <w:pPr>
        <w:pStyle w:val="4"/>
      </w:pPr>
      <w:r>
        <w:t>6.3 Calculate Market LU %</w:t>
      </w:r>
    </w:p>
    <w:p w14:paraId="4805CE9A">
      <w:pPr>
        <w:pStyle w:val="15"/>
        <w:rPr>
          <w:rFonts w:hint="default" w:ascii="Calibri" w:hAnsi="Calibri" w:cs="Calibri"/>
          <w:sz w:val="22"/>
          <w:szCs w:val="22"/>
        </w:rPr>
      </w:pPr>
      <w:r>
        <w:rPr>
          <w:rFonts w:hint="default" w:ascii="Calibri" w:hAnsi="Calibri" w:cs="Calibri"/>
          <w:sz w:val="22"/>
          <w:szCs w:val="22"/>
        </w:rPr>
        <w:t>LongUnwindingCount = count of universe members with isLongUnwinding=true. LU% = LongUnwindingCount / TotalFnoUnderlyings × 100. Use the supplied threshold exactly: MarketLevelAlertDetected is true when LU% ≥ 30%. Do not round LU% before applying the threshold unless the API convention requires a display-only rounded value.</w:t>
      </w:r>
    </w:p>
    <w:p w14:paraId="5F812DFB">
      <w:pPr>
        <w:pStyle w:val="15"/>
        <w:rPr>
          <w:rFonts w:hint="default" w:ascii="Calibri" w:hAnsi="Calibri" w:cs="Calibri"/>
          <w:sz w:val="22"/>
          <w:szCs w:val="22"/>
        </w:rPr>
      </w:pPr>
      <w:r>
        <w:rPr>
          <w:rFonts w:hint="default" w:ascii="Calibri" w:hAnsi="Calibri" w:cs="Calibri"/>
          <w:sz w:val="22"/>
          <w:szCs w:val="22"/>
        </w:rPr>
        <w:t>Do not reduce the denominator silently when a universe member has missing/stale price or OI. Report incomplete data and apply a data completeness policy confirmed by the product owner before emitting a definitive alert.</w:t>
      </w:r>
    </w:p>
    <w:p w14:paraId="40EA6622">
      <w:pPr>
        <w:pStyle w:val="4"/>
      </w:pPr>
      <w:r>
        <w:t>6.4 Evaluate Optional Index Condition</w:t>
      </w:r>
    </w:p>
    <w:p w14:paraId="28AABC6B">
      <w:pPr>
        <w:pStyle w:val="15"/>
        <w:rPr>
          <w:rFonts w:hint="default" w:ascii="Calibri" w:hAnsi="Calibri" w:cs="Calibri"/>
          <w:sz w:val="22"/>
          <w:szCs w:val="22"/>
        </w:rPr>
      </w:pPr>
      <w:r>
        <w:rPr>
          <w:rFonts w:hint="default" w:ascii="Calibri" w:hAnsi="Calibri" w:cs="Calibri"/>
          <w:sz w:val="22"/>
          <w:szCs w:val="22"/>
        </w:rPr>
        <w:t>When indexName is Nifty or Bank Nifty, evaluate index futures Price[t] &lt; Price[t-1] AND CombinedOI[t] &lt; CombinedOI[t-1]. Return the result separately. Whether it is a prerequisite for, or merely accompanies, the market-level LU% alert is not defined.</w:t>
      </w:r>
    </w:p>
    <w:p w14:paraId="22BFE88B">
      <w:pPr>
        <w:pStyle w:val="4"/>
      </w:pPr>
      <w:r>
        <w:t>7. Live Long Unwinding Detection</w:t>
      </w:r>
    </w:p>
    <w:p w14:paraId="5281B86E">
      <w:pPr>
        <w:pStyle w:val="4"/>
      </w:pPr>
      <w:r>
        <w:t>Step 1</w:t>
      </w:r>
    </w:p>
    <w:p w14:paraId="671F168B">
      <w:pPr>
        <w:pStyle w:val="15"/>
      </w:pPr>
      <w:r>
        <w:rPr>
          <w:rFonts w:hint="default" w:ascii="Calibri" w:hAnsi="Calibri" w:cs="Calibri"/>
          <w:sz w:val="22"/>
          <w:szCs w:val="22"/>
        </w:rPr>
        <w:t>At each configured 15-minute Live evaluation while market status is OPEN, load the current Live price/OI snapshot for all configured F&amp;O underlyings and the agreed comparison observations.</w:t>
      </w:r>
    </w:p>
    <w:p w14:paraId="1937A281">
      <w:pPr>
        <w:pStyle w:val="4"/>
      </w:pPr>
      <w:r>
        <w:t>Step 2</w:t>
      </w:r>
    </w:p>
    <w:p w14:paraId="12AE0A04">
      <w:pPr>
        <w:pStyle w:val="15"/>
        <w:rPr>
          <w:rFonts w:hint="default" w:ascii="Calibri" w:hAnsi="Calibri" w:cs="Calibri"/>
          <w:sz w:val="22"/>
          <w:szCs w:val="22"/>
        </w:rPr>
      </w:pPr>
      <w:r>
        <w:rPr>
          <w:rFonts w:hint="default" w:ascii="Calibri" w:hAnsi="Calibri" w:cs="Calibri"/>
          <w:sz w:val="22"/>
          <w:szCs w:val="22"/>
        </w:rPr>
        <w:t>Check data freshness and universe coverage. For every underlying with valid comparable values, apply the strict price-down AND OI-down rule. If required coverage is incomplete, mark the result incomplete instead of silently changing the denominator.</w:t>
      </w:r>
    </w:p>
    <w:p w14:paraId="63341B16">
      <w:pPr>
        <w:pStyle w:val="4"/>
      </w:pPr>
      <w:r>
        <w:t>Step 3</w:t>
      </w:r>
    </w:p>
    <w:p w14:paraId="3279DBA2">
      <w:pPr>
        <w:pStyle w:val="15"/>
        <w:rPr>
          <w:rFonts w:hint="default" w:ascii="Calibri" w:hAnsi="Calibri" w:cs="Calibri"/>
          <w:sz w:val="22"/>
          <w:szCs w:val="22"/>
        </w:rPr>
      </w:pPr>
      <w:r>
        <w:rPr>
          <w:rFonts w:hint="default" w:ascii="Calibri" w:hAnsi="Calibri" w:cs="Calibri"/>
          <w:sz w:val="22"/>
          <w:szCs w:val="22"/>
        </w:rPr>
        <w:t>Calculate LU% from the configured universe and compare it with the 30% threshold. If indexName was requested, separately evaluate the optional index futures condition.</w:t>
      </w:r>
    </w:p>
    <w:p w14:paraId="471F74D3">
      <w:pPr>
        <w:pStyle w:val="4"/>
      </w:pPr>
      <w:r>
        <w:t>Step 4</w:t>
      </w:r>
    </w:p>
    <w:p w14:paraId="1A877016">
      <w:pPr>
        <w:pStyle w:val="15"/>
        <w:rPr>
          <w:rFonts w:hint="default" w:ascii="Calibri" w:hAnsi="Calibri" w:cs="Calibri"/>
          <w:sz w:val="22"/>
          <w:szCs w:val="22"/>
        </w:rPr>
      </w:pPr>
      <w:r>
        <w:rPr>
          <w:rFonts w:hint="default" w:ascii="Calibri" w:hAnsi="Calibri" w:cs="Calibri"/>
          <w:sz w:val="22"/>
          <w:szCs w:val="22"/>
        </w:rPr>
        <w:t>Return a provisional Live result with observation and comparison timestamps. Do not create 15-minute candles. The supplied rule does not define alert deduplication or whether notifications repeat while LU% remains at or above 30%; confirm this behavior.</w:t>
      </w:r>
    </w:p>
    <w:p w14:paraId="6EBB6A90">
      <w:pPr>
        <w:pStyle w:val="4"/>
      </w:pPr>
      <w:r>
        <w:t>Result</w:t>
      </w:r>
    </w:p>
    <w:p w14:paraId="3DB6E027">
      <w:pPr>
        <w:pStyle w:val="15"/>
      </w:pPr>
      <w:r>
        <w:rPr>
          <w:rFonts w:hint="default" w:ascii="Calibri" w:hAnsi="Calibri" w:cs="Calibri"/>
          <w:sz w:val="22"/>
          <w:szCs w:val="22"/>
        </w:rPr>
        <w:t>The market-level condition is met when a complete, valid calculation yields LU% ≥ 30%. The optional index condition does not gate that result until the relationship is confirmed.</w:t>
      </w:r>
    </w:p>
    <w:p w14:paraId="4E3C9201">
      <w:pPr>
        <w:pStyle w:val="4"/>
      </w:pPr>
      <w:r>
        <w:t>8. EOD Long Unwinding Detection</w:t>
      </w:r>
    </w:p>
    <w:p w14:paraId="739953CF">
      <w:pPr>
        <w:pStyle w:val="4"/>
      </w:pPr>
      <w:r>
        <w:t>Step 1</w:t>
      </w:r>
    </w:p>
    <w:p w14:paraId="7E106FC9">
      <w:pPr>
        <w:pStyle w:val="15"/>
        <w:rPr>
          <w:rFonts w:hint="default" w:ascii="Calibri" w:hAnsi="Calibri" w:cs="Calibri"/>
          <w:sz w:val="22"/>
          <w:szCs w:val="22"/>
        </w:rPr>
      </w:pPr>
      <w:r>
        <w:rPr>
          <w:rFonts w:hint="default" w:ascii="Calibri" w:hAnsi="Calibri" w:cs="Calibri"/>
          <w:sz w:val="22"/>
          <w:szCs w:val="22"/>
        </w:rPr>
        <w:t>Load the latest completed daily price and OI observation and the preceding completed daily observation for every underlying in the configured F&amp;O universe.</w:t>
      </w:r>
    </w:p>
    <w:p w14:paraId="2CC2F012">
      <w:pPr>
        <w:pStyle w:val="4"/>
      </w:pPr>
      <w:r>
        <w:t>Step 2</w:t>
      </w:r>
    </w:p>
    <w:p w14:paraId="74A726C5">
      <w:pPr>
        <w:pStyle w:val="15"/>
        <w:rPr>
          <w:rFonts w:hint="default" w:ascii="Calibri" w:hAnsi="Calibri" w:cs="Calibri"/>
          <w:sz w:val="22"/>
          <w:szCs w:val="22"/>
        </w:rPr>
      </w:pPr>
      <w:r>
        <w:rPr>
          <w:rFonts w:hint="default" w:ascii="Calibri" w:hAnsi="Calibri" w:cs="Calibri"/>
          <w:sz w:val="22"/>
          <w:szCs w:val="22"/>
        </w:rPr>
        <w:t>Evaluate Long Unwinding per underlying. Calculate LongUnwindingCount, TotalFnoUnderlyings, and LU% for the same universe and evaluation date.</w:t>
      </w:r>
    </w:p>
    <w:p w14:paraId="0B349738">
      <w:pPr>
        <w:pStyle w:val="4"/>
      </w:pPr>
      <w:r>
        <w:t>Step 3</w:t>
      </w:r>
    </w:p>
    <w:p w14:paraId="2CF42346">
      <w:pPr>
        <w:pStyle w:val="15"/>
      </w:pPr>
      <w:r>
        <w:rPr>
          <w:rFonts w:hint="default" w:ascii="Calibri" w:hAnsi="Calibri" w:cs="Calibri"/>
          <w:sz w:val="22"/>
          <w:szCs w:val="22"/>
        </w:rPr>
        <w:t>Set marketLevelAlertDetected when LU% ≥ 30%, provided the required universe coverage and inputs are valid. If requested, evaluate the index condition separately using comparable daily observations.</w:t>
      </w:r>
    </w:p>
    <w:p w14:paraId="54E99270">
      <w:pPr>
        <w:pStyle w:val="4"/>
      </w:pPr>
      <w:r>
        <w:t>Result</w:t>
      </w:r>
    </w:p>
    <w:p w14:paraId="6969AE85">
      <w:pPr>
        <w:pStyle w:val="15"/>
      </w:pPr>
      <w:r>
        <w:rPr>
          <w:rFonts w:hint="default" w:ascii="Calibri" w:hAnsi="Calibri" w:cs="Calibri"/>
          <w:sz w:val="22"/>
          <w:szCs w:val="22"/>
        </w:rPr>
        <w:t>Return evaluationMode=EOD and isProvisional=false. EOD uses daily historical observations only and does not use intraday timeframe candles.</w:t>
      </w:r>
    </w:p>
    <w:p w14:paraId="4DB71F94">
      <w:pPr>
        <w:pStyle w:val="4"/>
      </w:pPr>
      <w:r>
        <w:t>9. Complete Detection Logic</w:t>
      </w:r>
    </w:p>
    <w:p w14:paraId="0A22CDE7">
      <w:pPr>
        <w:pStyle w:val="15"/>
        <w:rPr>
          <w:rFonts w:hint="default" w:ascii="Calibri" w:hAnsi="Calibri" w:cs="Calibri"/>
          <w:sz w:val="22"/>
          <w:szCs w:val="22"/>
        </w:rPr>
      </w:pPr>
      <w:r>
        <w:rPr>
          <w:rFonts w:hint="default" w:ascii="Calibri" w:hAnsi="Calibri" w:cs="Calibri"/>
          <w:sz w:val="22"/>
          <w:szCs w:val="22"/>
        </w:rPr>
        <w:t>For each configured F&amp;O underlying u at evaluation observation t:</w:t>
      </w:r>
    </w:p>
    <w:p w14:paraId="5FA1E64E">
      <w:pPr>
        <w:pStyle w:val="15"/>
        <w:rPr>
          <w:rFonts w:hint="default" w:ascii="Calibri" w:hAnsi="Calibri" w:cs="Calibri"/>
          <w:sz w:val="22"/>
          <w:szCs w:val="22"/>
        </w:rPr>
      </w:pPr>
      <w:r>
        <w:rPr>
          <w:rFonts w:hint="default" w:ascii="Calibri" w:hAnsi="Calibri" w:cs="Calibri"/>
          <w:sz w:val="22"/>
          <w:szCs w:val="22"/>
        </w:rPr>
        <w:t>LongUnwinding[u,t] = (Price[u,t] &lt; Price[u,t-1]) AND (OI[u,t] &lt; OI[u,t-1])</w:t>
      </w:r>
    </w:p>
    <w:p w14:paraId="6C4548F4">
      <w:pPr>
        <w:pStyle w:val="15"/>
        <w:rPr>
          <w:rFonts w:hint="default" w:ascii="Calibri" w:hAnsi="Calibri" w:cs="Calibri"/>
          <w:sz w:val="22"/>
          <w:szCs w:val="22"/>
        </w:rPr>
      </w:pPr>
      <w:r>
        <w:rPr>
          <w:rFonts w:hint="default" w:ascii="Calibri" w:hAnsi="Calibri" w:cs="Calibri"/>
          <w:sz w:val="22"/>
          <w:szCs w:val="22"/>
        </w:rPr>
        <w:t>LongUnwindingCount = COUNT(u where LongUnwinding[u,t] = true)</w:t>
      </w:r>
    </w:p>
    <w:p w14:paraId="7FCDDAE7">
      <w:pPr>
        <w:pStyle w:val="15"/>
        <w:rPr>
          <w:rFonts w:hint="default" w:ascii="Calibri" w:hAnsi="Calibri" w:cs="Calibri"/>
          <w:sz w:val="22"/>
          <w:szCs w:val="22"/>
        </w:rPr>
      </w:pPr>
      <w:r>
        <w:rPr>
          <w:rFonts w:hint="default" w:ascii="Calibri" w:hAnsi="Calibri" w:cs="Calibri"/>
          <w:sz w:val="22"/>
          <w:szCs w:val="22"/>
        </w:rPr>
        <w:t>LU% = LongUnwindingCount / TotalFnoUnderlyings × 100</w:t>
      </w:r>
    </w:p>
    <w:p w14:paraId="48404E32">
      <w:pPr>
        <w:pStyle w:val="15"/>
        <w:rPr>
          <w:rFonts w:hint="default" w:ascii="Calibri" w:hAnsi="Calibri" w:cs="Calibri"/>
          <w:sz w:val="22"/>
          <w:szCs w:val="22"/>
        </w:rPr>
      </w:pPr>
      <w:r>
        <w:rPr>
          <w:rFonts w:hint="default" w:ascii="Calibri" w:hAnsi="Calibri" w:cs="Calibri"/>
          <w:sz w:val="22"/>
          <w:szCs w:val="22"/>
        </w:rPr>
        <w:t>MarketLevelAlertDetected = LU% ≥ 30%</w:t>
      </w:r>
    </w:p>
    <w:p w14:paraId="0C04C67F">
      <w:pPr>
        <w:pStyle w:val="15"/>
        <w:rPr>
          <w:rFonts w:hint="default" w:ascii="Calibri" w:hAnsi="Calibri" w:cs="Calibri"/>
          <w:sz w:val="22"/>
          <w:szCs w:val="22"/>
        </w:rPr>
      </w:pPr>
      <w:r>
        <w:rPr>
          <w:rFonts w:hint="default" w:ascii="Calibri" w:hAnsi="Calibri" w:cs="Calibri"/>
          <w:sz w:val="22"/>
          <w:szCs w:val="22"/>
        </w:rPr>
        <w:t>OptionalIndexCondition = (IndexPrice[t] &lt; IndexPrice[t-1]) AND (CombinedOI[t] &lt; CombinedOI[t-1])</w:t>
      </w:r>
    </w:p>
    <w:p w14:paraId="75CD845E">
      <w:pPr>
        <w:pStyle w:val="15"/>
        <w:rPr>
          <w:rFonts w:hint="default" w:ascii="Calibri" w:hAnsi="Calibri" w:cs="Calibri"/>
          <w:sz w:val="22"/>
          <w:szCs w:val="22"/>
        </w:rPr>
      </w:pPr>
      <w:r>
        <w:rPr>
          <w:rFonts w:hint="default" w:ascii="Calibri" w:hAnsi="Calibri" w:cs="Calibri"/>
          <w:sz w:val="22"/>
          <w:szCs w:val="22"/>
        </w:rPr>
        <w:t>The optional index condition is independent in the response until the product owner confirms whether it gates the market-level alert. EOD t-1 means the prior completed daily observation. The Live comparison reference remains to be confirmed.</w:t>
      </w:r>
    </w:p>
    <w:p w14:paraId="3B812E04">
      <w:pPr>
        <w:pStyle w:val="4"/>
      </w:pPr>
      <w:r>
        <w:t>10. Processing Flow</w:t>
      </w:r>
    </w:p>
    <w:p w14:paraId="39107D9F">
      <w:pPr>
        <w:pStyle w:val="15"/>
        <w:rPr>
          <w:rFonts w:hint="default" w:ascii="Calibri" w:hAnsi="Calibri" w:cs="Calibri"/>
          <w:sz w:val="22"/>
          <w:szCs w:val="22"/>
        </w:rPr>
      </w:pPr>
      <w:r>
        <w:rPr>
          <w:rFonts w:hint="default" w:ascii="Calibri" w:hAnsi="Calibri" w:cs="Calibri"/>
          <w:sz w:val="22"/>
          <w:szCs w:val="22"/>
        </w:rPr>
        <w:t>Request</w:t>
      </w:r>
    </w:p>
    <w:p w14:paraId="45E2208B">
      <w:pPr>
        <w:pStyle w:val="15"/>
        <w:rPr>
          <w:rFonts w:hint="default" w:ascii="Calibri" w:hAnsi="Calibri" w:cs="Calibri"/>
          <w:sz w:val="22"/>
          <w:szCs w:val="22"/>
        </w:rPr>
      </w:pPr>
      <w:r>
        <w:rPr>
          <w:rFonts w:hint="default" w:ascii="Calibri" w:hAnsi="Calibri" w:cs="Calibri"/>
          <w:sz w:val="22"/>
          <w:szCs w:val="22"/>
        </w:rPr>
        <w:t xml:space="preserve">   |</w:t>
      </w:r>
    </w:p>
    <w:p w14:paraId="1D6085F8">
      <w:pPr>
        <w:pStyle w:val="15"/>
        <w:rPr>
          <w:rFonts w:hint="default" w:ascii="Calibri" w:hAnsi="Calibri" w:cs="Calibri"/>
          <w:sz w:val="22"/>
          <w:szCs w:val="22"/>
        </w:rPr>
      </w:pPr>
      <w:r>
        <w:rPr>
          <w:rFonts w:hint="default" w:ascii="Calibri" w:hAnsi="Calibri" w:cs="Calibri"/>
          <w:sz w:val="22"/>
          <w:szCs w:val="22"/>
        </w:rPr>
        <w:t xml:space="preserve">   |-- Exchange; optional indexName (Nifty / Bank Nifty futures)</w:t>
      </w:r>
    </w:p>
    <w:p w14:paraId="768CD9E4">
      <w:pPr>
        <w:pStyle w:val="15"/>
        <w:rPr>
          <w:rFonts w:hint="default" w:ascii="Calibri" w:hAnsi="Calibri" w:cs="Calibri"/>
          <w:sz w:val="22"/>
          <w:szCs w:val="22"/>
        </w:rPr>
      </w:pPr>
      <w:r>
        <w:rPr>
          <w:rFonts w:hint="default" w:ascii="Calibri" w:hAnsi="Calibri" w:cs="Calibri"/>
          <w:sz w:val="22"/>
          <w:szCs w:val="22"/>
        </w:rPr>
        <w:t xml:space="preserve">   |-- TechnicalScreeners (EOD daily data) or TechnicalScreenersLive (Live snapshot every 15 minutes)</w:t>
      </w:r>
    </w:p>
    <w:p w14:paraId="12C5E39F">
      <w:pPr>
        <w:pStyle w:val="15"/>
        <w:rPr>
          <w:rFonts w:hint="default" w:ascii="Calibri" w:hAnsi="Calibri" w:cs="Calibri"/>
          <w:sz w:val="22"/>
          <w:szCs w:val="22"/>
        </w:rPr>
      </w:pPr>
      <w:r>
        <w:rPr>
          <w:rFonts w:hint="default" w:ascii="Calibri" w:hAnsi="Calibri" w:cs="Calibri"/>
          <w:sz w:val="22"/>
          <w:szCs w:val="22"/>
        </w:rPr>
        <w:t xml:space="preserve">   |</w:t>
      </w:r>
    </w:p>
    <w:p w14:paraId="5E6710CF">
      <w:pPr>
        <w:pStyle w:val="15"/>
      </w:pPr>
      <w:r>
        <w:rPr>
          <w:rFonts w:hint="default" w:ascii="Calibri" w:hAnsi="Calibri" w:cs="Calibri"/>
          <w:sz w:val="22"/>
          <w:szCs w:val="22"/>
        </w:rPr>
        <w:t>Resolve F&amp;O universe → load comparable price/OI observations → evaluate each underlying → count Long Unwinding members → divide by total F&amp;O underlyings → compare LU% with 30% → optionally evaluate index futures condition → return result and completeness status</w:t>
      </w:r>
    </w:p>
    <w:p w14:paraId="2CF59CF6">
      <w:pPr>
        <w:pStyle w:val="4"/>
      </w:pPr>
      <w:r>
        <w:t>11. Edge Cases</w:t>
      </w:r>
    </w:p>
    <w:tbl>
      <w:tblPr>
        <w:tblStyle w:val="12"/>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160"/>
        <w:gridCol w:w="5869"/>
      </w:tblGrid>
      <w:tr w14:paraId="5380A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60"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53132D5B">
            <w:pPr>
              <w:spacing w:after="0"/>
              <w:rPr>
                <w:sz w:val="20"/>
                <w:szCs w:val="20"/>
              </w:rPr>
            </w:pPr>
            <w:r>
              <w:rPr>
                <w:rFonts w:ascii="Calibri" w:hAnsi="Calibri"/>
                <w:b/>
                <w:sz w:val="20"/>
                <w:szCs w:val="20"/>
              </w:rPr>
              <w:t>Scenario</w:t>
            </w:r>
          </w:p>
        </w:tc>
        <w:tc>
          <w:tcPr>
            <w:tcW w:w="5869"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67748C60">
            <w:pPr>
              <w:spacing w:after="0"/>
              <w:rPr>
                <w:sz w:val="20"/>
                <w:szCs w:val="20"/>
              </w:rPr>
            </w:pPr>
            <w:r>
              <w:rPr>
                <w:rFonts w:ascii="Calibri" w:hAnsi="Calibri"/>
                <w:b/>
                <w:sz w:val="20"/>
                <w:szCs w:val="20"/>
              </w:rPr>
              <w:t>Expected Behavior</w:t>
            </w:r>
          </w:p>
        </w:tc>
      </w:tr>
      <w:tr w14:paraId="36465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37B3C7D">
            <w:pPr>
              <w:spacing w:after="0"/>
              <w:rPr>
                <w:sz w:val="20"/>
                <w:szCs w:val="20"/>
              </w:rPr>
            </w:pPr>
            <w:r>
              <w:rPr>
                <w:rFonts w:ascii="Calibri" w:hAnsi="Calibri"/>
                <w:sz w:val="20"/>
                <w:szCs w:val="20"/>
              </w:rPr>
              <w:t>Missing F&amp;O universe configuration</w:t>
            </w:r>
          </w:p>
        </w:tc>
        <w:tc>
          <w:tcPr>
            <w:tcW w:w="586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CA8AAF7">
            <w:pPr>
              <w:spacing w:after="0"/>
              <w:rPr>
                <w:sz w:val="20"/>
                <w:szCs w:val="20"/>
              </w:rPr>
            </w:pPr>
            <w:r>
              <w:rPr>
                <w:rFonts w:ascii="Calibri" w:hAnsi="Calibri"/>
                <w:sz w:val="20"/>
                <w:szCs w:val="20"/>
              </w:rPr>
              <w:t>Do not calculate LU%; return configuration/data unavailable.</w:t>
            </w:r>
          </w:p>
        </w:tc>
      </w:tr>
      <w:tr w14:paraId="48795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ACA2660">
            <w:pPr>
              <w:spacing w:after="0"/>
              <w:rPr>
                <w:sz w:val="20"/>
                <w:szCs w:val="20"/>
              </w:rPr>
            </w:pPr>
            <w:r>
              <w:rPr>
                <w:rFonts w:ascii="Calibri" w:hAnsi="Calibri"/>
                <w:sz w:val="20"/>
                <w:szCs w:val="20"/>
              </w:rPr>
              <w:t>Zero underlyings in universe</w:t>
            </w:r>
          </w:p>
        </w:tc>
        <w:tc>
          <w:tcPr>
            <w:tcW w:w="586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BDE5AFF">
            <w:pPr>
              <w:spacing w:after="0"/>
              <w:rPr>
                <w:sz w:val="20"/>
                <w:szCs w:val="20"/>
              </w:rPr>
            </w:pPr>
            <w:r>
              <w:rPr>
                <w:rFonts w:ascii="Calibri" w:hAnsi="Calibri"/>
                <w:sz w:val="20"/>
                <w:szCs w:val="20"/>
              </w:rPr>
              <w:t>Do not divide by zero; return unavailable/configuration error.</w:t>
            </w:r>
          </w:p>
        </w:tc>
      </w:tr>
      <w:tr w14:paraId="0609F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1195545">
            <w:pPr>
              <w:spacing w:after="0"/>
              <w:rPr>
                <w:sz w:val="20"/>
                <w:szCs w:val="20"/>
              </w:rPr>
            </w:pPr>
            <w:r>
              <w:rPr>
                <w:rFonts w:ascii="Calibri" w:hAnsi="Calibri"/>
                <w:sz w:val="20"/>
                <w:szCs w:val="20"/>
              </w:rPr>
              <w:t>Missing or stale price/OI for a universe member</w:t>
            </w:r>
          </w:p>
        </w:tc>
        <w:tc>
          <w:tcPr>
            <w:tcW w:w="586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79AFE0C">
            <w:pPr>
              <w:spacing w:after="0"/>
              <w:rPr>
                <w:sz w:val="20"/>
                <w:szCs w:val="20"/>
              </w:rPr>
            </w:pPr>
            <w:r>
              <w:rPr>
                <w:rFonts w:ascii="Calibri" w:hAnsi="Calibri"/>
                <w:sz w:val="20"/>
                <w:szCs w:val="20"/>
              </w:rPr>
              <w:t>Mark coverage incomplete; do not silently shrink the denominator. Confirm definitive-alert policy.</w:t>
            </w:r>
          </w:p>
        </w:tc>
      </w:tr>
      <w:tr w14:paraId="567B8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FFD679B">
            <w:pPr>
              <w:spacing w:after="0"/>
              <w:rPr>
                <w:sz w:val="20"/>
                <w:szCs w:val="20"/>
              </w:rPr>
            </w:pPr>
            <w:r>
              <w:rPr>
                <w:rFonts w:ascii="Calibri" w:hAnsi="Calibri"/>
                <w:sz w:val="20"/>
                <w:szCs w:val="20"/>
              </w:rPr>
              <w:t>Insufficient EOD history</w:t>
            </w:r>
          </w:p>
        </w:tc>
        <w:tc>
          <w:tcPr>
            <w:tcW w:w="586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D4947BE">
            <w:pPr>
              <w:spacing w:after="0"/>
              <w:rPr>
                <w:sz w:val="20"/>
                <w:szCs w:val="20"/>
              </w:rPr>
            </w:pPr>
            <w:r>
              <w:rPr>
                <w:rFonts w:ascii="Calibri" w:hAnsi="Calibri"/>
                <w:sz w:val="20"/>
                <w:szCs w:val="20"/>
              </w:rPr>
              <w:t>Do not classify the affected underlying without both t and t-1 observations.</w:t>
            </w:r>
          </w:p>
        </w:tc>
      </w:tr>
      <w:tr w14:paraId="7A41E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D1D5EF5">
            <w:pPr>
              <w:spacing w:after="0"/>
              <w:rPr>
                <w:sz w:val="20"/>
                <w:szCs w:val="20"/>
              </w:rPr>
            </w:pPr>
            <w:r>
              <w:rPr>
                <w:rFonts w:ascii="Calibri" w:hAnsi="Calibri"/>
                <w:sz w:val="20"/>
                <w:szCs w:val="20"/>
              </w:rPr>
              <w:t>First Live evaluation has no prior Live sample</w:t>
            </w:r>
          </w:p>
        </w:tc>
        <w:tc>
          <w:tcPr>
            <w:tcW w:w="586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576B31A">
            <w:pPr>
              <w:spacing w:after="0"/>
              <w:rPr>
                <w:sz w:val="20"/>
                <w:szCs w:val="20"/>
              </w:rPr>
            </w:pPr>
            <w:r>
              <w:rPr>
                <w:rFonts w:ascii="Calibri" w:hAnsi="Calibri"/>
                <w:sz w:val="20"/>
                <w:szCs w:val="20"/>
              </w:rPr>
              <w:t>Use only a separately confirmed comparison fallback; do not assume one.</w:t>
            </w:r>
          </w:p>
        </w:tc>
      </w:tr>
      <w:tr w14:paraId="10CD1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3DEEB98">
            <w:pPr>
              <w:spacing w:after="0"/>
              <w:rPr>
                <w:sz w:val="20"/>
                <w:szCs w:val="20"/>
              </w:rPr>
            </w:pPr>
            <w:r>
              <w:rPr>
                <w:rFonts w:ascii="Calibri" w:hAnsi="Calibri"/>
                <w:sz w:val="20"/>
                <w:szCs w:val="20"/>
              </w:rPr>
              <w:t>Price unchanged</w:t>
            </w:r>
          </w:p>
        </w:tc>
        <w:tc>
          <w:tcPr>
            <w:tcW w:w="586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A709372">
            <w:pPr>
              <w:spacing w:after="0"/>
              <w:rPr>
                <w:sz w:val="20"/>
                <w:szCs w:val="20"/>
              </w:rPr>
            </w:pPr>
            <w:r>
              <w:rPr>
                <w:rFonts w:ascii="Calibri" w:hAnsi="Calibri"/>
                <w:sz w:val="20"/>
                <w:szCs w:val="20"/>
              </w:rPr>
              <w:t>Underlying does not satisfy strict Price[t] &lt; Price[t-1].</w:t>
            </w:r>
          </w:p>
        </w:tc>
      </w:tr>
      <w:tr w14:paraId="26A0C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71BC888">
            <w:pPr>
              <w:spacing w:after="0"/>
              <w:rPr>
                <w:sz w:val="20"/>
                <w:szCs w:val="20"/>
              </w:rPr>
            </w:pPr>
            <w:r>
              <w:rPr>
                <w:rFonts w:ascii="Calibri" w:hAnsi="Calibri"/>
                <w:sz w:val="20"/>
                <w:szCs w:val="20"/>
              </w:rPr>
              <w:t>OI unchanged</w:t>
            </w:r>
          </w:p>
        </w:tc>
        <w:tc>
          <w:tcPr>
            <w:tcW w:w="586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8774B18">
            <w:pPr>
              <w:spacing w:after="0"/>
              <w:rPr>
                <w:sz w:val="20"/>
                <w:szCs w:val="20"/>
              </w:rPr>
            </w:pPr>
            <w:r>
              <w:rPr>
                <w:rFonts w:ascii="Calibri" w:hAnsi="Calibri"/>
                <w:sz w:val="20"/>
                <w:szCs w:val="20"/>
              </w:rPr>
              <w:t>Underlying does not satisfy strict OI[t] &lt; OI[t-1].</w:t>
            </w:r>
          </w:p>
        </w:tc>
      </w:tr>
      <w:tr w14:paraId="6D55E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F597A58">
            <w:pPr>
              <w:spacing w:after="0"/>
              <w:rPr>
                <w:sz w:val="20"/>
                <w:szCs w:val="20"/>
              </w:rPr>
            </w:pPr>
            <w:r>
              <w:rPr>
                <w:rFonts w:ascii="Calibri" w:hAnsi="Calibri"/>
                <w:sz w:val="20"/>
                <w:szCs w:val="20"/>
              </w:rPr>
              <w:t>LU% exactly 30%</w:t>
            </w:r>
          </w:p>
        </w:tc>
        <w:tc>
          <w:tcPr>
            <w:tcW w:w="586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55A3042">
            <w:pPr>
              <w:spacing w:after="0"/>
              <w:rPr>
                <w:sz w:val="20"/>
                <w:szCs w:val="20"/>
              </w:rPr>
            </w:pPr>
            <w:r>
              <w:rPr>
                <w:rFonts w:ascii="Calibri" w:hAnsi="Calibri"/>
                <w:sz w:val="20"/>
                <w:szCs w:val="20"/>
              </w:rPr>
              <w:t>Alert condition is true because the supplied comparison is ≥ 30%.</w:t>
            </w:r>
          </w:p>
        </w:tc>
      </w:tr>
      <w:tr w14:paraId="2DB73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50B8278">
            <w:pPr>
              <w:spacing w:after="0"/>
              <w:rPr>
                <w:sz w:val="20"/>
                <w:szCs w:val="20"/>
              </w:rPr>
            </w:pPr>
            <w:r>
              <w:rPr>
                <w:rFonts w:ascii="Calibri" w:hAnsi="Calibri"/>
                <w:sz w:val="20"/>
                <w:szCs w:val="20"/>
              </w:rPr>
              <w:t>LU% below 30%</w:t>
            </w:r>
          </w:p>
        </w:tc>
        <w:tc>
          <w:tcPr>
            <w:tcW w:w="586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D58F37A">
            <w:pPr>
              <w:spacing w:after="0"/>
              <w:rPr>
                <w:sz w:val="20"/>
                <w:szCs w:val="20"/>
              </w:rPr>
            </w:pPr>
            <w:r>
              <w:rPr>
                <w:rFonts w:ascii="Calibri" w:hAnsi="Calibri"/>
                <w:sz w:val="20"/>
                <w:szCs w:val="20"/>
              </w:rPr>
              <w:t>Market-level alert condition is false.</w:t>
            </w:r>
          </w:p>
        </w:tc>
      </w:tr>
      <w:tr w14:paraId="4BBA8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EF11E85">
            <w:pPr>
              <w:spacing w:after="0"/>
              <w:rPr>
                <w:sz w:val="20"/>
                <w:szCs w:val="20"/>
              </w:rPr>
            </w:pPr>
            <w:r>
              <w:rPr>
                <w:rFonts w:ascii="Calibri" w:hAnsi="Calibri"/>
                <w:sz w:val="20"/>
                <w:szCs w:val="20"/>
              </w:rPr>
              <w:t>Optional index not requested</w:t>
            </w:r>
          </w:p>
        </w:tc>
        <w:tc>
          <w:tcPr>
            <w:tcW w:w="586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FF5F83E">
            <w:pPr>
              <w:spacing w:after="0"/>
              <w:rPr>
                <w:sz w:val="20"/>
                <w:szCs w:val="20"/>
              </w:rPr>
            </w:pPr>
            <w:r>
              <w:rPr>
                <w:rFonts w:ascii="Calibri" w:hAnsi="Calibri"/>
                <w:sz w:val="20"/>
                <w:szCs w:val="20"/>
              </w:rPr>
              <w:t>Return index fields as null or omit them according to API convention.</w:t>
            </w:r>
          </w:p>
        </w:tc>
      </w:tr>
      <w:tr w14:paraId="22A93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EA02846">
            <w:pPr>
              <w:spacing w:after="0"/>
              <w:rPr>
                <w:sz w:val="20"/>
                <w:szCs w:val="20"/>
              </w:rPr>
            </w:pPr>
            <w:r>
              <w:rPr>
                <w:rFonts w:ascii="Calibri" w:hAnsi="Calibri"/>
                <w:sz w:val="20"/>
                <w:szCs w:val="20"/>
              </w:rPr>
              <w:t>Optional index mapping / OI aggregation missing</w:t>
            </w:r>
          </w:p>
        </w:tc>
        <w:tc>
          <w:tcPr>
            <w:tcW w:w="586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3EF571A">
            <w:pPr>
              <w:spacing w:after="0"/>
              <w:rPr>
                <w:sz w:val="20"/>
                <w:szCs w:val="20"/>
              </w:rPr>
            </w:pPr>
            <w:r>
              <w:rPr>
                <w:rFonts w:ascii="Calibri" w:hAnsi="Calibri"/>
                <w:sz w:val="20"/>
                <w:szCs w:val="20"/>
              </w:rPr>
              <w:t>Return index condition unavailable; do not guess expiry or combined OI rules.</w:t>
            </w:r>
          </w:p>
        </w:tc>
      </w:tr>
      <w:tr w14:paraId="68FA1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84ED978">
            <w:pPr>
              <w:spacing w:after="0"/>
              <w:rPr>
                <w:sz w:val="20"/>
                <w:szCs w:val="20"/>
              </w:rPr>
            </w:pPr>
            <w:r>
              <w:rPr>
                <w:rFonts w:ascii="Calibri" w:hAnsi="Calibri"/>
                <w:sz w:val="20"/>
                <w:szCs w:val="20"/>
              </w:rPr>
              <w:t>Optional index condition false</w:t>
            </w:r>
          </w:p>
        </w:tc>
        <w:tc>
          <w:tcPr>
            <w:tcW w:w="586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CB96582">
            <w:pPr>
              <w:spacing w:after="0"/>
              <w:rPr>
                <w:sz w:val="20"/>
                <w:szCs w:val="20"/>
              </w:rPr>
            </w:pPr>
            <w:r>
              <w:rPr>
                <w:rFonts w:ascii="Calibri" w:hAnsi="Calibri"/>
                <w:sz w:val="20"/>
                <w:szCs w:val="20"/>
              </w:rPr>
              <w:t>Report false separately; whether it gates market-level alert is unconfirmed.</w:t>
            </w:r>
          </w:p>
        </w:tc>
      </w:tr>
      <w:tr w14:paraId="089D9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961C335">
            <w:pPr>
              <w:spacing w:after="0"/>
              <w:rPr>
                <w:sz w:val="20"/>
                <w:szCs w:val="20"/>
              </w:rPr>
            </w:pPr>
            <w:r>
              <w:rPr>
                <w:rFonts w:ascii="Calibri" w:hAnsi="Calibri"/>
                <w:sz w:val="20"/>
                <w:szCs w:val="20"/>
              </w:rPr>
              <w:t>Market timing unavailable</w:t>
            </w:r>
          </w:p>
        </w:tc>
        <w:tc>
          <w:tcPr>
            <w:tcW w:w="586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A19F423">
            <w:pPr>
              <w:spacing w:after="0"/>
              <w:rPr>
                <w:sz w:val="20"/>
                <w:szCs w:val="20"/>
              </w:rPr>
            </w:pPr>
            <w:r>
              <w:rPr>
                <w:rFonts w:ascii="Calibri" w:hAnsi="Calibri"/>
                <w:sz w:val="20"/>
                <w:szCs w:val="20"/>
              </w:rPr>
              <w:t>Do not assume Live session is open; follow IMarketStatusService conventions.</w:t>
            </w:r>
          </w:p>
        </w:tc>
      </w:tr>
      <w:tr w14:paraId="4883E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D9FCCDC">
            <w:pPr>
              <w:spacing w:after="0"/>
              <w:rPr>
                <w:sz w:val="20"/>
                <w:szCs w:val="20"/>
              </w:rPr>
            </w:pPr>
            <w:r>
              <w:rPr>
                <w:rFonts w:ascii="Calibri" w:hAnsi="Calibri"/>
                <w:sz w:val="20"/>
                <w:szCs w:val="20"/>
              </w:rPr>
              <w:t>Market closed</w:t>
            </w:r>
          </w:p>
        </w:tc>
        <w:tc>
          <w:tcPr>
            <w:tcW w:w="586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42EF235">
            <w:pPr>
              <w:spacing w:after="0"/>
              <w:rPr>
                <w:sz w:val="20"/>
                <w:szCs w:val="20"/>
              </w:rPr>
            </w:pPr>
            <w:r>
              <w:rPr>
                <w:rFonts w:ascii="Calibri" w:hAnsi="Calibri"/>
                <w:sz w:val="20"/>
                <w:szCs w:val="20"/>
              </w:rPr>
              <w:t>Do not run scheduled Live evaluation outside configured OPEN status.</w:t>
            </w:r>
          </w:p>
        </w:tc>
      </w:tr>
      <w:tr w14:paraId="2C242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61D521C">
            <w:pPr>
              <w:spacing w:after="0"/>
              <w:rPr>
                <w:sz w:val="20"/>
                <w:szCs w:val="20"/>
              </w:rPr>
            </w:pPr>
            <w:r>
              <w:rPr>
                <w:rFonts w:ascii="Calibri" w:hAnsi="Calibri"/>
                <w:sz w:val="20"/>
                <w:szCs w:val="20"/>
              </w:rPr>
              <w:t>Alert remains ≥30% across evaluations</w:t>
            </w:r>
          </w:p>
        </w:tc>
        <w:tc>
          <w:tcPr>
            <w:tcW w:w="586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1EAC45A">
            <w:pPr>
              <w:spacing w:after="0"/>
              <w:rPr>
                <w:sz w:val="20"/>
                <w:szCs w:val="20"/>
              </w:rPr>
            </w:pPr>
            <w:r>
              <w:rPr>
                <w:rFonts w:ascii="Calibri" w:hAnsi="Calibri"/>
                <w:sz w:val="20"/>
                <w:szCs w:val="20"/>
              </w:rPr>
              <w:t>Repeat/deduplication behavior is not supplied; confirm notification policy.</w:t>
            </w:r>
          </w:p>
        </w:tc>
      </w:tr>
      <w:tr w14:paraId="6392F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E0396C4">
            <w:pPr>
              <w:spacing w:after="0"/>
              <w:rPr>
                <w:sz w:val="20"/>
                <w:szCs w:val="20"/>
              </w:rPr>
            </w:pPr>
            <w:r>
              <w:rPr>
                <w:rFonts w:ascii="Calibri" w:hAnsi="Calibri"/>
                <w:sz w:val="20"/>
                <w:szCs w:val="20"/>
              </w:rPr>
              <w:t>Invalid exchange or indexName</w:t>
            </w:r>
          </w:p>
        </w:tc>
        <w:tc>
          <w:tcPr>
            <w:tcW w:w="586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56B8A32">
            <w:pPr>
              <w:spacing w:after="0"/>
              <w:rPr>
                <w:sz w:val="20"/>
                <w:szCs w:val="20"/>
              </w:rPr>
            </w:pPr>
            <w:r>
              <w:rPr>
                <w:rFonts w:ascii="Calibri" w:hAnsi="Calibri"/>
                <w:sz w:val="20"/>
                <w:szCs w:val="20"/>
              </w:rPr>
              <w:t>Return validation error using existing route conventions.</w:t>
            </w:r>
          </w:p>
        </w:tc>
      </w:tr>
    </w:tbl>
    <w:p w14:paraId="34D6A317">
      <w:pPr>
        <w:pStyle w:val="4"/>
      </w:pPr>
      <w:r>
        <w:t>12. Logging</w:t>
      </w:r>
    </w:p>
    <w:tbl>
      <w:tblPr>
        <w:tblStyle w:val="12"/>
        <w:tblW w:w="92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45"/>
        <w:gridCol w:w="3431"/>
        <w:gridCol w:w="4153"/>
      </w:tblGrid>
      <w:tr w14:paraId="239FF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45"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6FA43465">
            <w:pPr>
              <w:spacing w:after="0"/>
              <w:rPr>
                <w:sz w:val="20"/>
                <w:szCs w:val="20"/>
              </w:rPr>
            </w:pPr>
            <w:r>
              <w:rPr>
                <w:rFonts w:ascii="Calibri" w:hAnsi="Calibri"/>
                <w:b/>
                <w:sz w:val="20"/>
                <w:szCs w:val="20"/>
              </w:rPr>
              <w:t>Level</w:t>
            </w:r>
          </w:p>
        </w:tc>
        <w:tc>
          <w:tcPr>
            <w:tcW w:w="3431"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03E794EA">
            <w:pPr>
              <w:spacing w:after="0"/>
              <w:rPr>
                <w:sz w:val="20"/>
                <w:szCs w:val="20"/>
              </w:rPr>
            </w:pPr>
            <w:r>
              <w:rPr>
                <w:rFonts w:ascii="Calibri" w:hAnsi="Calibri"/>
                <w:b/>
                <w:sz w:val="20"/>
                <w:szCs w:val="20"/>
              </w:rPr>
              <w:t>Event</w:t>
            </w:r>
          </w:p>
        </w:tc>
        <w:tc>
          <w:tcPr>
            <w:tcW w:w="4153"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085EE4B5">
            <w:pPr>
              <w:spacing w:after="0"/>
              <w:rPr>
                <w:sz w:val="20"/>
                <w:szCs w:val="20"/>
              </w:rPr>
            </w:pPr>
            <w:r>
              <w:rPr>
                <w:rFonts w:ascii="Calibri" w:hAnsi="Calibri"/>
                <w:b/>
                <w:sz w:val="20"/>
                <w:szCs w:val="20"/>
              </w:rPr>
              <w:t>Key Identifiers</w:t>
            </w:r>
          </w:p>
        </w:tc>
      </w:tr>
      <w:tr w14:paraId="71D40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AD781E3">
            <w:pPr>
              <w:spacing w:after="0"/>
              <w:rPr>
                <w:sz w:val="20"/>
                <w:szCs w:val="20"/>
              </w:rPr>
            </w:pPr>
            <w:r>
              <w:rPr>
                <w:rFonts w:ascii="Calibri" w:hAnsi="Calibri"/>
                <w:sz w:val="20"/>
                <w:szCs w:val="20"/>
              </w:rPr>
              <w:t>Information</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3E5FFAD">
            <w:pPr>
              <w:spacing w:after="0"/>
              <w:rPr>
                <w:sz w:val="20"/>
                <w:szCs w:val="20"/>
              </w:rPr>
            </w:pPr>
            <w:r>
              <w:rPr>
                <w:rFonts w:ascii="Calibri" w:hAnsi="Calibri"/>
                <w:sz w:val="20"/>
                <w:szCs w:val="20"/>
              </w:rPr>
              <w:t>Long Unwinding evaluation started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C7120DC">
            <w:pPr>
              <w:spacing w:after="0"/>
              <w:rPr>
                <w:sz w:val="20"/>
                <w:szCs w:val="20"/>
              </w:rPr>
            </w:pPr>
            <w:r>
              <w:rPr>
                <w:rFonts w:ascii="Calibri" w:hAnsi="Calibri"/>
                <w:sz w:val="20"/>
                <w:szCs w:val="20"/>
              </w:rPr>
              <w:t>Exchange, mode, evaluation timestamp, optional indexName.</w:t>
            </w:r>
          </w:p>
        </w:tc>
      </w:tr>
      <w:tr w14:paraId="1CE1C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3348AD8">
            <w:pPr>
              <w:spacing w:after="0"/>
              <w:rPr>
                <w:sz w:val="20"/>
                <w:szCs w:val="20"/>
              </w:rPr>
            </w:pPr>
            <w:r>
              <w:rPr>
                <w:rFonts w:ascii="Calibri" w:hAnsi="Calibri"/>
                <w:sz w:val="20"/>
                <w:szCs w:val="20"/>
              </w:rPr>
              <w:t>Information</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A1DC2C6">
            <w:pPr>
              <w:spacing w:after="0"/>
              <w:rPr>
                <w:sz w:val="20"/>
                <w:szCs w:val="20"/>
              </w:rPr>
            </w:pPr>
            <w:r>
              <w:rPr>
                <w:rFonts w:ascii="Calibri" w:hAnsi="Calibri"/>
                <w:sz w:val="20"/>
                <w:szCs w:val="20"/>
              </w:rPr>
              <w:t>F&amp;O universe resolved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45CCA35">
            <w:pPr>
              <w:spacing w:after="0"/>
              <w:rPr>
                <w:sz w:val="20"/>
                <w:szCs w:val="20"/>
              </w:rPr>
            </w:pPr>
            <w:r>
              <w:rPr>
                <w:rFonts w:ascii="Calibri" w:hAnsi="Calibri"/>
                <w:sz w:val="20"/>
                <w:szCs w:val="20"/>
              </w:rPr>
              <w:t>Universe version/date, total underlyings, exchange.</w:t>
            </w:r>
          </w:p>
        </w:tc>
      </w:tr>
      <w:tr w14:paraId="262B1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A12BDE0">
            <w:pPr>
              <w:spacing w:after="0"/>
              <w:rPr>
                <w:sz w:val="20"/>
                <w:szCs w:val="20"/>
              </w:rPr>
            </w:pPr>
            <w:r>
              <w:rPr>
                <w:rFonts w:ascii="Calibri" w:hAnsi="Calibri"/>
                <w:sz w:val="20"/>
                <w:szCs w:val="20"/>
              </w:rPr>
              <w:t>Debug</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2308DF2">
            <w:pPr>
              <w:spacing w:after="0"/>
              <w:rPr>
                <w:sz w:val="20"/>
                <w:szCs w:val="20"/>
              </w:rPr>
            </w:pPr>
            <w:r>
              <w:rPr>
                <w:rFonts w:ascii="Calibri" w:hAnsi="Calibri"/>
                <w:sz w:val="20"/>
                <w:szCs w:val="20"/>
              </w:rPr>
              <w:t>Underlying data loaded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D60ECC2">
            <w:pPr>
              <w:spacing w:after="0"/>
              <w:rPr>
                <w:sz w:val="20"/>
                <w:szCs w:val="20"/>
              </w:rPr>
            </w:pPr>
            <w:r>
              <w:rPr>
                <w:rFonts w:ascii="Calibri" w:hAnsi="Calibri"/>
                <w:sz w:val="20"/>
                <w:szCs w:val="20"/>
              </w:rPr>
              <w:t>Symbol, current/comparison times, price/OI completeness.</w:t>
            </w:r>
          </w:p>
        </w:tc>
      </w:tr>
      <w:tr w14:paraId="1C931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8F4127D">
            <w:pPr>
              <w:spacing w:after="0"/>
              <w:rPr>
                <w:sz w:val="20"/>
                <w:szCs w:val="20"/>
              </w:rPr>
            </w:pPr>
            <w:r>
              <w:rPr>
                <w:rFonts w:ascii="Calibri" w:hAnsi="Calibri"/>
                <w:sz w:val="20"/>
                <w:szCs w:val="20"/>
              </w:rPr>
              <w:t>Debug</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5442692">
            <w:pPr>
              <w:spacing w:after="0"/>
              <w:rPr>
                <w:sz w:val="20"/>
                <w:szCs w:val="20"/>
              </w:rPr>
            </w:pPr>
            <w:r>
              <w:rPr>
                <w:rFonts w:ascii="Calibri" w:hAnsi="Calibri"/>
                <w:sz w:val="20"/>
                <w:szCs w:val="20"/>
              </w:rPr>
              <w:t>Per-underlying condition evaluated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4C08C09">
            <w:pPr>
              <w:spacing w:after="0"/>
              <w:rPr>
                <w:sz w:val="20"/>
                <w:szCs w:val="20"/>
              </w:rPr>
            </w:pPr>
            <w:r>
              <w:rPr>
                <w:rFonts w:ascii="Calibri" w:hAnsi="Calibri"/>
                <w:sz w:val="20"/>
                <w:szCs w:val="20"/>
              </w:rPr>
              <w:t>Symbol, current/comparison price and OI, result.</w:t>
            </w:r>
          </w:p>
        </w:tc>
      </w:tr>
      <w:tr w14:paraId="07D9B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77C2885">
            <w:pPr>
              <w:spacing w:after="0"/>
              <w:rPr>
                <w:sz w:val="20"/>
                <w:szCs w:val="20"/>
              </w:rPr>
            </w:pPr>
            <w:r>
              <w:rPr>
                <w:rFonts w:ascii="Calibri" w:hAnsi="Calibri"/>
                <w:sz w:val="20"/>
                <w:szCs w:val="20"/>
              </w:rPr>
              <w:t>Information</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39F5703">
            <w:pPr>
              <w:spacing w:after="0"/>
              <w:rPr>
                <w:sz w:val="20"/>
                <w:szCs w:val="20"/>
              </w:rPr>
            </w:pPr>
            <w:r>
              <w:rPr>
                <w:rFonts w:ascii="Calibri" w:hAnsi="Calibri"/>
                <w:sz w:val="20"/>
                <w:szCs w:val="20"/>
              </w:rPr>
              <w:t>Market LU percentage calculated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B9A64E3">
            <w:pPr>
              <w:spacing w:after="0"/>
              <w:rPr>
                <w:sz w:val="20"/>
                <w:szCs w:val="20"/>
              </w:rPr>
            </w:pPr>
            <w:r>
              <w:rPr>
                <w:rFonts w:ascii="Calibri" w:hAnsi="Calibri"/>
                <w:sz w:val="20"/>
                <w:szCs w:val="20"/>
              </w:rPr>
              <w:t>Count, denominator, LU%, threshold, completeness.</w:t>
            </w:r>
          </w:p>
        </w:tc>
      </w:tr>
      <w:tr w14:paraId="6D943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2C50F65">
            <w:pPr>
              <w:spacing w:after="0"/>
              <w:rPr>
                <w:sz w:val="20"/>
                <w:szCs w:val="20"/>
              </w:rPr>
            </w:pPr>
            <w:r>
              <w:rPr>
                <w:rFonts w:ascii="Calibri" w:hAnsi="Calibri"/>
                <w:sz w:val="20"/>
                <w:szCs w:val="20"/>
              </w:rPr>
              <w:t>Debug</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527B077">
            <w:pPr>
              <w:spacing w:after="0"/>
              <w:rPr>
                <w:sz w:val="20"/>
                <w:szCs w:val="20"/>
              </w:rPr>
            </w:pPr>
            <w:r>
              <w:rPr>
                <w:rFonts w:ascii="Calibri" w:hAnsi="Calibri"/>
                <w:sz w:val="20"/>
                <w:szCs w:val="20"/>
              </w:rPr>
              <w:t>Optional index condition evaluated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6703E9D">
            <w:pPr>
              <w:spacing w:after="0"/>
              <w:rPr>
                <w:sz w:val="20"/>
                <w:szCs w:val="20"/>
              </w:rPr>
            </w:pPr>
            <w:r>
              <w:rPr>
                <w:rFonts w:ascii="Calibri" w:hAnsi="Calibri"/>
                <w:sz w:val="20"/>
                <w:szCs w:val="20"/>
              </w:rPr>
              <w:t>Index, current/comparison price and combined OI, result.</w:t>
            </w:r>
          </w:p>
        </w:tc>
      </w:tr>
      <w:tr w14:paraId="70833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0926652">
            <w:pPr>
              <w:spacing w:after="0"/>
              <w:rPr>
                <w:sz w:val="20"/>
                <w:szCs w:val="20"/>
              </w:rPr>
            </w:pPr>
            <w:r>
              <w:rPr>
                <w:rFonts w:ascii="Calibri" w:hAnsi="Calibri"/>
                <w:sz w:val="20"/>
                <w:szCs w:val="20"/>
              </w:rPr>
              <w:t>Information</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94FB5E7">
            <w:pPr>
              <w:spacing w:after="0"/>
              <w:rPr>
                <w:sz w:val="20"/>
                <w:szCs w:val="20"/>
              </w:rPr>
            </w:pPr>
            <w:r>
              <w:rPr>
                <w:rFonts w:ascii="Calibri" w:hAnsi="Calibri"/>
                <w:sz w:val="20"/>
                <w:szCs w:val="20"/>
              </w:rPr>
              <w:t>Long Unwinding alert detected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42F5508">
            <w:pPr>
              <w:spacing w:after="0"/>
              <w:rPr>
                <w:sz w:val="20"/>
                <w:szCs w:val="20"/>
              </w:rPr>
            </w:pPr>
            <w:r>
              <w:rPr>
                <w:rFonts w:ascii="Calibri" w:hAnsi="Calibri"/>
                <w:sz w:val="20"/>
                <w:szCs w:val="20"/>
              </w:rPr>
              <w:t>Exchange, LU%, threshold, mode, timestamp.</w:t>
            </w:r>
          </w:p>
        </w:tc>
      </w:tr>
      <w:tr w14:paraId="653E9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93C29E0">
            <w:pPr>
              <w:spacing w:after="0"/>
              <w:rPr>
                <w:sz w:val="20"/>
                <w:szCs w:val="20"/>
              </w:rPr>
            </w:pPr>
            <w:r>
              <w:rPr>
                <w:rFonts w:ascii="Calibri" w:hAnsi="Calibri"/>
                <w:sz w:val="20"/>
                <w:szCs w:val="20"/>
              </w:rPr>
              <w:t>Warning</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6AF8270">
            <w:pPr>
              <w:spacing w:after="0"/>
              <w:rPr>
                <w:sz w:val="20"/>
                <w:szCs w:val="20"/>
              </w:rPr>
            </w:pPr>
            <w:r>
              <w:rPr>
                <w:rFonts w:ascii="Calibri" w:hAnsi="Calibri"/>
                <w:sz w:val="20"/>
                <w:szCs w:val="20"/>
              </w:rPr>
              <w:t>Incomplete data or market timing unavailable</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CB2E55A">
            <w:pPr>
              <w:spacing w:after="0"/>
              <w:rPr>
                <w:sz w:val="20"/>
                <w:szCs w:val="20"/>
              </w:rPr>
            </w:pPr>
            <w:r>
              <w:rPr>
                <w:rFonts w:ascii="Calibri" w:hAnsi="Calibri"/>
                <w:sz w:val="20"/>
                <w:szCs w:val="20"/>
              </w:rPr>
              <w:t>Exchange, missing symbols/segment, reason.</w:t>
            </w:r>
          </w:p>
        </w:tc>
      </w:tr>
      <w:tr w14:paraId="39CD0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531E7C4">
            <w:pPr>
              <w:spacing w:after="0"/>
              <w:rPr>
                <w:sz w:val="20"/>
                <w:szCs w:val="20"/>
              </w:rPr>
            </w:pPr>
            <w:r>
              <w:rPr>
                <w:rFonts w:ascii="Calibri" w:hAnsi="Calibri"/>
                <w:sz w:val="20"/>
                <w:szCs w:val="20"/>
              </w:rPr>
              <w:t>Error</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83BF227">
            <w:pPr>
              <w:spacing w:after="0"/>
              <w:rPr>
                <w:sz w:val="20"/>
                <w:szCs w:val="20"/>
              </w:rPr>
            </w:pPr>
            <w:r>
              <w:rPr>
                <w:rFonts w:ascii="Calibri" w:hAnsi="Calibri"/>
                <w:sz w:val="20"/>
                <w:szCs w:val="20"/>
              </w:rPr>
              <w:t>SQLite or Live feed failure</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BDA9C46">
            <w:pPr>
              <w:spacing w:after="0"/>
              <w:rPr>
                <w:sz w:val="20"/>
                <w:szCs w:val="20"/>
              </w:rPr>
            </w:pPr>
            <w:r>
              <w:rPr>
                <w:rFonts w:ascii="Calibri" w:hAnsi="Calibri"/>
                <w:sz w:val="20"/>
                <w:szCs w:val="20"/>
              </w:rPr>
              <w:t>Exchange, source, exception.</w:t>
            </w:r>
          </w:p>
        </w:tc>
      </w:tr>
    </w:tbl>
    <w:p w14:paraId="6AE275F9">
      <w:pPr>
        <w:pStyle w:val="4"/>
      </w:pPr>
      <w:r>
        <w:t>13. Error Handling</w:t>
      </w:r>
    </w:p>
    <w:tbl>
      <w:tblPr>
        <w:tblStyle w:val="12"/>
        <w:tblW w:w="92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28"/>
        <w:gridCol w:w="1264"/>
        <w:gridCol w:w="5237"/>
      </w:tblGrid>
      <w:tr w14:paraId="59DA1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28"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4925D2C3">
            <w:pPr>
              <w:spacing w:after="0"/>
              <w:rPr>
                <w:sz w:val="20"/>
                <w:szCs w:val="20"/>
              </w:rPr>
            </w:pPr>
            <w:r>
              <w:rPr>
                <w:rFonts w:ascii="Calibri" w:hAnsi="Calibri"/>
                <w:b/>
                <w:sz w:val="20"/>
                <w:szCs w:val="20"/>
              </w:rPr>
              <w:t>Scenario</w:t>
            </w:r>
          </w:p>
        </w:tc>
        <w:tc>
          <w:tcPr>
            <w:tcW w:w="1264"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472C209E">
            <w:pPr>
              <w:spacing w:after="0"/>
              <w:rPr>
                <w:sz w:val="20"/>
                <w:szCs w:val="20"/>
              </w:rPr>
            </w:pPr>
            <w:r>
              <w:rPr>
                <w:rFonts w:ascii="Calibri" w:hAnsi="Calibri"/>
                <w:b/>
                <w:sz w:val="20"/>
                <w:szCs w:val="20"/>
              </w:rPr>
              <w:t>HTTP Status</w:t>
            </w:r>
          </w:p>
        </w:tc>
        <w:tc>
          <w:tcPr>
            <w:tcW w:w="5237"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5DA9D5CE">
            <w:pPr>
              <w:spacing w:after="0"/>
              <w:rPr>
                <w:sz w:val="20"/>
                <w:szCs w:val="20"/>
              </w:rPr>
            </w:pPr>
            <w:r>
              <w:rPr>
                <w:rFonts w:ascii="Calibri" w:hAnsi="Calibri"/>
                <w:b/>
                <w:sz w:val="20"/>
                <w:szCs w:val="20"/>
              </w:rPr>
              <w:t>Handling</w:t>
            </w:r>
          </w:p>
        </w:tc>
      </w:tr>
      <w:tr w14:paraId="114E7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2F5795B">
            <w:pPr>
              <w:spacing w:after="0"/>
              <w:rPr>
                <w:sz w:val="20"/>
                <w:szCs w:val="20"/>
              </w:rPr>
            </w:pPr>
            <w:r>
              <w:rPr>
                <w:rFonts w:ascii="Calibri" w:hAnsi="Calibri"/>
                <w:sz w:val="20"/>
                <w:szCs w:val="20"/>
              </w:rPr>
              <w:t>Invalid exchange or indexName</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AFE4DFB">
            <w:pPr>
              <w:spacing w:after="0"/>
              <w:rPr>
                <w:sz w:val="20"/>
                <w:szCs w:val="20"/>
              </w:rPr>
            </w:pPr>
            <w:r>
              <w:rPr>
                <w:rFonts w:ascii="Calibri" w:hAnsi="Calibri"/>
                <w:sz w:val="20"/>
                <w:szCs w:val="20"/>
              </w:rPr>
              <w:t>400</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5C64B2F">
            <w:pPr>
              <w:spacing w:after="0"/>
              <w:rPr>
                <w:sz w:val="20"/>
                <w:szCs w:val="20"/>
              </w:rPr>
            </w:pPr>
            <w:r>
              <w:rPr>
                <w:rFonts w:ascii="Calibri" w:hAnsi="Calibri"/>
                <w:sz w:val="20"/>
                <w:szCs w:val="20"/>
              </w:rPr>
              <w:t>Return validation error using existing TechnicalScreeners schema.</w:t>
            </w:r>
          </w:p>
        </w:tc>
      </w:tr>
      <w:tr w14:paraId="7C966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4BDDAF5">
            <w:pPr>
              <w:spacing w:after="0"/>
              <w:rPr>
                <w:sz w:val="20"/>
                <w:szCs w:val="20"/>
              </w:rPr>
            </w:pPr>
            <w:r>
              <w:rPr>
                <w:rFonts w:ascii="Calibri" w:hAnsi="Calibri"/>
                <w:sz w:val="20"/>
                <w:szCs w:val="20"/>
              </w:rPr>
              <w:t>Unknown index/security mapping</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4517066">
            <w:pPr>
              <w:spacing w:after="0"/>
              <w:rPr>
                <w:sz w:val="20"/>
                <w:szCs w:val="20"/>
              </w:rPr>
            </w:pPr>
            <w:r>
              <w:rPr>
                <w:rFonts w:ascii="Calibri" w:hAnsi="Calibri"/>
                <w:sz w:val="20"/>
                <w:szCs w:val="20"/>
              </w:rPr>
              <w:t>400/404</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9956855">
            <w:pPr>
              <w:spacing w:after="0"/>
              <w:rPr>
                <w:sz w:val="20"/>
                <w:szCs w:val="20"/>
              </w:rPr>
            </w:pPr>
            <w:r>
              <w:rPr>
                <w:rFonts w:ascii="Calibri" w:hAnsi="Calibri"/>
                <w:sz w:val="20"/>
                <w:szCs w:val="20"/>
              </w:rPr>
              <w:t>Return established validation/not-found response.</w:t>
            </w:r>
          </w:p>
        </w:tc>
      </w:tr>
      <w:tr w14:paraId="5FD78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801CDFA">
            <w:pPr>
              <w:spacing w:after="0"/>
              <w:rPr>
                <w:sz w:val="20"/>
                <w:szCs w:val="20"/>
              </w:rPr>
            </w:pPr>
            <w:r>
              <w:rPr>
                <w:rFonts w:ascii="Calibri" w:hAnsi="Calibri"/>
                <w:sz w:val="20"/>
                <w:szCs w:val="20"/>
              </w:rPr>
              <w:t>F&amp;O universe unavailable</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6047CA7">
            <w:pPr>
              <w:spacing w:after="0"/>
              <w:rPr>
                <w:sz w:val="20"/>
                <w:szCs w:val="20"/>
              </w:rPr>
            </w:pPr>
            <w:r>
              <w:rPr>
                <w:rFonts w:ascii="Calibri" w:hAnsi="Calibri"/>
                <w:sz w:val="20"/>
                <w:szCs w:val="20"/>
              </w:rPr>
              <w:t>200/503</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FDFE364">
            <w:pPr>
              <w:spacing w:after="0"/>
              <w:rPr>
                <w:sz w:val="20"/>
                <w:szCs w:val="20"/>
              </w:rPr>
            </w:pPr>
            <w:r>
              <w:rPr>
                <w:rFonts w:ascii="Calibri" w:hAnsi="Calibri"/>
                <w:sz w:val="20"/>
                <w:szCs w:val="20"/>
              </w:rPr>
              <w:t>Return configuration/data-unavailable status; do not fabricate the denominator.</w:t>
            </w:r>
          </w:p>
        </w:tc>
      </w:tr>
      <w:tr w14:paraId="4DD6D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B148F17">
            <w:pPr>
              <w:spacing w:after="0"/>
              <w:rPr>
                <w:sz w:val="20"/>
                <w:szCs w:val="20"/>
              </w:rPr>
            </w:pPr>
            <w:r>
              <w:rPr>
                <w:rFonts w:ascii="Calibri" w:hAnsi="Calibri"/>
                <w:sz w:val="20"/>
                <w:szCs w:val="20"/>
              </w:rPr>
              <w:t>Insufficient EOD history</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03CCEAC">
            <w:pPr>
              <w:spacing w:after="0"/>
              <w:rPr>
                <w:sz w:val="20"/>
                <w:szCs w:val="20"/>
              </w:rPr>
            </w:pPr>
            <w:r>
              <w:rPr>
                <w:rFonts w:ascii="Calibri" w:hAnsi="Calibri"/>
                <w:sz w:val="20"/>
                <w:szCs w:val="20"/>
              </w:rPr>
              <w:t>200</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4E86E80">
            <w:pPr>
              <w:spacing w:after="0"/>
              <w:rPr>
                <w:sz w:val="20"/>
                <w:szCs w:val="20"/>
              </w:rPr>
            </w:pPr>
            <w:r>
              <w:rPr>
                <w:rFonts w:ascii="Calibri" w:hAnsi="Calibri"/>
                <w:sz w:val="20"/>
                <w:szCs w:val="20"/>
              </w:rPr>
              <w:t>Return incomplete evaluation status and avoid classifying missing observations.</w:t>
            </w:r>
          </w:p>
        </w:tc>
      </w:tr>
      <w:tr w14:paraId="1ABED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4A3E844">
            <w:pPr>
              <w:spacing w:after="0"/>
              <w:rPr>
                <w:sz w:val="20"/>
                <w:szCs w:val="20"/>
              </w:rPr>
            </w:pPr>
            <w:r>
              <w:rPr>
                <w:rFonts w:ascii="Calibri" w:hAnsi="Calibri"/>
                <w:sz w:val="20"/>
                <w:szCs w:val="20"/>
              </w:rPr>
              <w:t>Live comparison reference missing</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262D76E">
            <w:pPr>
              <w:spacing w:after="0"/>
              <w:rPr>
                <w:sz w:val="20"/>
                <w:szCs w:val="20"/>
              </w:rPr>
            </w:pPr>
            <w:r>
              <w:rPr>
                <w:rFonts w:ascii="Calibri" w:hAnsi="Calibri"/>
                <w:sz w:val="20"/>
                <w:szCs w:val="20"/>
              </w:rPr>
              <w:t>200/503</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F720F61">
            <w:pPr>
              <w:spacing w:after="0"/>
              <w:rPr>
                <w:sz w:val="20"/>
                <w:szCs w:val="20"/>
              </w:rPr>
            </w:pPr>
            <w:r>
              <w:rPr>
                <w:rFonts w:ascii="Calibri" w:hAnsi="Calibri"/>
                <w:sz w:val="20"/>
                <w:szCs w:val="20"/>
              </w:rPr>
              <w:t>Return configuration-required/incomplete status; do not invent a prior sample.</w:t>
            </w:r>
          </w:p>
        </w:tc>
      </w:tr>
      <w:tr w14:paraId="169DA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4CF079B">
            <w:pPr>
              <w:spacing w:after="0"/>
              <w:rPr>
                <w:sz w:val="20"/>
                <w:szCs w:val="20"/>
              </w:rPr>
            </w:pPr>
            <w:r>
              <w:rPr>
                <w:rFonts w:ascii="Calibri" w:hAnsi="Calibri"/>
                <w:sz w:val="20"/>
                <w:szCs w:val="20"/>
              </w:rPr>
              <w:t>Incomplete or stale price/OI coverage</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CC44287">
            <w:pPr>
              <w:spacing w:after="0"/>
              <w:rPr>
                <w:sz w:val="20"/>
                <w:szCs w:val="20"/>
              </w:rPr>
            </w:pPr>
            <w:r>
              <w:rPr>
                <w:rFonts w:ascii="Calibri" w:hAnsi="Calibri"/>
                <w:sz w:val="20"/>
                <w:szCs w:val="20"/>
              </w:rPr>
              <w:t>200/503</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98AFA3E">
            <w:pPr>
              <w:spacing w:after="0"/>
              <w:rPr>
                <w:sz w:val="20"/>
                <w:szCs w:val="20"/>
              </w:rPr>
            </w:pPr>
            <w:r>
              <w:rPr>
                <w:rFonts w:ascii="Calibri" w:hAnsi="Calibri"/>
                <w:sz w:val="20"/>
                <w:szCs w:val="20"/>
              </w:rPr>
              <w:t>Return incomplete status; do not claim a definitive percentage without the configured coverage policy.</w:t>
            </w:r>
          </w:p>
        </w:tc>
      </w:tr>
      <w:tr w14:paraId="3516D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7614219">
            <w:pPr>
              <w:spacing w:after="0"/>
              <w:rPr>
                <w:sz w:val="20"/>
                <w:szCs w:val="20"/>
              </w:rPr>
            </w:pPr>
            <w:r>
              <w:rPr>
                <w:rFonts w:ascii="Calibri" w:hAnsi="Calibri"/>
                <w:sz w:val="20"/>
                <w:szCs w:val="20"/>
              </w:rPr>
              <w:t>Live market timing unavailable</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E5790BB">
            <w:pPr>
              <w:spacing w:after="0"/>
              <w:rPr>
                <w:sz w:val="20"/>
                <w:szCs w:val="20"/>
              </w:rPr>
            </w:pPr>
            <w:r>
              <w:rPr>
                <w:rFonts w:ascii="Calibri" w:hAnsi="Calibri"/>
                <w:sz w:val="20"/>
                <w:szCs w:val="20"/>
              </w:rPr>
              <w:t>200/503</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FE3FD65">
            <w:pPr>
              <w:spacing w:after="0"/>
              <w:rPr>
                <w:sz w:val="20"/>
                <w:szCs w:val="20"/>
              </w:rPr>
            </w:pPr>
            <w:r>
              <w:rPr>
                <w:rFonts w:ascii="Calibri" w:hAnsi="Calibri"/>
                <w:sz w:val="20"/>
                <w:szCs w:val="20"/>
              </w:rPr>
              <w:t>Do not run a market-gated scheduled evaluation; follow existing service conventions.</w:t>
            </w:r>
          </w:p>
        </w:tc>
      </w:tr>
      <w:tr w14:paraId="3AA01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0073E44">
            <w:pPr>
              <w:spacing w:after="0"/>
              <w:rPr>
                <w:sz w:val="20"/>
                <w:szCs w:val="20"/>
              </w:rPr>
            </w:pPr>
            <w:r>
              <w:rPr>
                <w:rFonts w:ascii="Calibri" w:hAnsi="Calibri"/>
                <w:sz w:val="20"/>
                <w:szCs w:val="20"/>
              </w:rPr>
              <w:t>Database/market-data source failure</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8650C88">
            <w:pPr>
              <w:spacing w:after="0"/>
              <w:rPr>
                <w:sz w:val="20"/>
                <w:szCs w:val="20"/>
              </w:rPr>
            </w:pPr>
            <w:r>
              <w:rPr>
                <w:rFonts w:ascii="Calibri" w:hAnsi="Calibri"/>
                <w:sz w:val="20"/>
                <w:szCs w:val="20"/>
              </w:rPr>
              <w:t>500</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BF3D3A2">
            <w:pPr>
              <w:spacing w:after="0"/>
              <w:rPr>
                <w:sz w:val="20"/>
                <w:szCs w:val="20"/>
              </w:rPr>
            </w:pPr>
            <w:r>
              <w:rPr>
                <w:rFonts w:ascii="Calibri" w:hAnsi="Calibri"/>
                <w:sz w:val="20"/>
                <w:szCs w:val="20"/>
              </w:rPr>
              <w:t>Log details and return generic service error without internal exception data.</w:t>
            </w:r>
          </w:p>
        </w:tc>
      </w:tr>
      <w:tr w14:paraId="3FCD9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65C4658">
            <w:pPr>
              <w:spacing w:after="0"/>
              <w:rPr>
                <w:sz w:val="20"/>
                <w:szCs w:val="20"/>
              </w:rPr>
            </w:pPr>
            <w:r>
              <w:rPr>
                <w:rFonts w:ascii="Calibri" w:hAnsi="Calibri"/>
                <w:sz w:val="20"/>
                <w:szCs w:val="20"/>
              </w:rPr>
              <w:t>Unexpected exception</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604B784">
            <w:pPr>
              <w:spacing w:after="0"/>
              <w:rPr>
                <w:sz w:val="20"/>
                <w:szCs w:val="20"/>
              </w:rPr>
            </w:pPr>
            <w:r>
              <w:rPr>
                <w:rFonts w:ascii="Calibri" w:hAnsi="Calibri"/>
                <w:sz w:val="20"/>
                <w:szCs w:val="20"/>
              </w:rPr>
              <w:t>500</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162B2E4">
            <w:pPr>
              <w:spacing w:after="0"/>
              <w:rPr>
                <w:sz w:val="20"/>
                <w:szCs w:val="20"/>
              </w:rPr>
            </w:pPr>
            <w:r>
              <w:rPr>
                <w:rFonts w:ascii="Calibri" w:hAnsi="Calibri"/>
                <w:sz w:val="20"/>
                <w:szCs w:val="20"/>
              </w:rPr>
              <w:t>Log exception and return generic error.</w:t>
            </w:r>
          </w:p>
        </w:tc>
      </w:tr>
    </w:tbl>
    <w:p w14:paraId="313218BF">
      <w:pPr>
        <w:pStyle w:val="4"/>
      </w:pPr>
      <w:r>
        <w:t>14. Configuration and Decisions</w:t>
      </w:r>
    </w:p>
    <w:p w14:paraId="348798A3">
      <w:pPr>
        <w:pStyle w:val="15"/>
        <w:rPr>
          <w:rFonts w:hint="default" w:ascii="Calibri" w:hAnsi="Calibri" w:cs="Calibri"/>
          <w:sz w:val="22"/>
          <w:szCs w:val="22"/>
        </w:rPr>
      </w:pPr>
      <w:r>
        <w:rPr>
          <w:rFonts w:hint="default" w:ascii="Calibri" w:hAnsi="Calibri" w:cs="Calibri"/>
          <w:sz w:val="22"/>
          <w:szCs w:val="22"/>
        </w:rPr>
        <w:t>Use the supplied threshold 30% and the supplied strict per-underlying price/OI comparisons. Confirm the F&amp;O universe definition and point-in-time membership; underlying price field; OI contract/expiry selection; how missing members affect the denominator; Live t-1 comparison reference; combined OI contract set for Nifty/Bank Nifty; whether the optional index condition gates the market alert; and notification deduplication/repeat behavior.</w:t>
      </w:r>
    </w:p>
    <w:p w14:paraId="3A458B36">
      <w:pPr>
        <w:pStyle w:val="15"/>
        <w:rPr>
          <w:rFonts w:hint="default" w:ascii="Calibri" w:hAnsi="Calibri" w:cs="Calibri"/>
          <w:sz w:val="22"/>
          <w:szCs w:val="22"/>
        </w:rPr>
      </w:pPr>
      <w:r>
        <w:rPr>
          <w:rFonts w:hint="default" w:ascii="Calibri" w:hAnsi="Calibri" w:cs="Calibri"/>
          <w:sz w:val="22"/>
          <w:szCs w:val="22"/>
        </w:rPr>
        <w:t>The Live schedule is every 15 minutes as specified, but it is a polling/evaluation cadence over Live snapshots. The</w:t>
      </w:r>
      <w:bookmarkStart w:id="0" w:name="_GoBack"/>
      <w:bookmarkEnd w:id="0"/>
      <w:r>
        <w:rPr>
          <w:rFonts w:hint="default" w:ascii="Calibri" w:hAnsi="Calibri" w:cs="Calibri"/>
          <w:sz w:val="22"/>
          <w:szCs w:val="22"/>
        </w:rPr>
        <w:t xml:space="preserve"> API must use EOD daily history and Live data only, with no 15-minute candles.</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77C"/>
    <w:rsid w:val="001E6BB5"/>
    <w:rsid w:val="00385E11"/>
    <w:rsid w:val="0059577C"/>
    <w:rsid w:val="006835D2"/>
    <w:rsid w:val="00731632"/>
    <w:rsid w:val="01CB0F78"/>
    <w:rsid w:val="045954B6"/>
    <w:rsid w:val="076D15CF"/>
    <w:rsid w:val="08CE77B4"/>
    <w:rsid w:val="0A54530F"/>
    <w:rsid w:val="0A750537"/>
    <w:rsid w:val="11254AAD"/>
    <w:rsid w:val="17A032FB"/>
    <w:rsid w:val="1A5E42D0"/>
    <w:rsid w:val="1C1E4649"/>
    <w:rsid w:val="1D3A1DA5"/>
    <w:rsid w:val="206E4B8B"/>
    <w:rsid w:val="213A6FA5"/>
    <w:rsid w:val="2406762A"/>
    <w:rsid w:val="29C1221E"/>
    <w:rsid w:val="2D5A1875"/>
    <w:rsid w:val="30D72E30"/>
    <w:rsid w:val="32FA1831"/>
    <w:rsid w:val="341F5D90"/>
    <w:rsid w:val="35BE7DBB"/>
    <w:rsid w:val="370757D3"/>
    <w:rsid w:val="38A46CD0"/>
    <w:rsid w:val="3BDE077C"/>
    <w:rsid w:val="402C0554"/>
    <w:rsid w:val="411452A8"/>
    <w:rsid w:val="432050AF"/>
    <w:rsid w:val="4A09304E"/>
    <w:rsid w:val="4CEC4311"/>
    <w:rsid w:val="50434BD4"/>
    <w:rsid w:val="509B32CD"/>
    <w:rsid w:val="50FA53DC"/>
    <w:rsid w:val="5114461E"/>
    <w:rsid w:val="57B317F1"/>
    <w:rsid w:val="622540F5"/>
    <w:rsid w:val="71EA5622"/>
    <w:rsid w:val="749E4DE3"/>
    <w:rsid w:val="75614B20"/>
    <w:rsid w:val="783B524E"/>
    <w:rsid w:val="7CC443BD"/>
    <w:rsid w:val="7DF4253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Calibri" w:hAnsi="Calibri" w:eastAsia="Calibri" w:cs="Calibri"/>
      <w:kern w:val="0"/>
      <w:sz w:val="21"/>
      <w:szCs w:val="21"/>
      <w:lang w:val="en-IN" w:eastAsia="en-IN" w:bidi="ar-SA"/>
      <w14:ligatures w14:val="none"/>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cs="Courier New"/>
      <w:sz w:val="20"/>
      <w:szCs w:val="20"/>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qFormat/>
    <w:uiPriority w:val="9"/>
    <w:rPr>
      <w:rFonts w:eastAsiaTheme="majorEastAsia" w:cstheme="majorBidi"/>
      <w:color w:val="2F5597" w:themeColor="accent1" w:themeShade="BF"/>
      <w:sz w:val="28"/>
      <w:szCs w:val="28"/>
    </w:rPr>
  </w:style>
  <w:style w:type="character" w:customStyle="1" w:styleId="22">
    <w:name w:val="Heading 4 Char"/>
    <w:basedOn w:val="11"/>
    <w:link w:val="5"/>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0"/>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2369</Words>
  <Characters>15775</Characters>
  <Lines>19</Lines>
  <Paragraphs>5</Paragraphs>
  <TotalTime>7</TotalTime>
  <ScaleCrop>false</ScaleCrop>
  <LinksUpToDate>false</LinksUpToDate>
  <CharactersWithSpaces>17983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2026-09-25T05:56:00Z</dcterms:created>
  <dc:creator>Chidambaram Idarts</dc:creator>
  <cp:lastModifiedBy>Srinivasan A J</cp:lastModifiedBy>
  <dcterms:modified xsi:type="dcterms:W3CDTF">2026-10-14T12:56:09Z</dcterms:modified>
  <dc:subject>API specification following the supplied Triangle Breakout document template</dc:subject>
  <dc:title>Head &amp; Shoulders Pattern Alert API Specification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eyJoZGlkIjoiOGQ2OWYxNzM1NzRlOTUyZGFhYzNhYjlkNjk4ZTA5NWQiLCJ1c2VySWQiOiI1Njc0NTc3NTc1MjAifQ==</vt:lpwstr>
  </property>
  <property fmtid="{D5CDD505-2E9C-101B-9397-08002B2CF9AE}" pid="3" name="KSOProductBuildVer">
    <vt:lpwstr>1033-12.1.0.29162</vt:lpwstr>
  </property>
  <property fmtid="{D5CDD505-2E9C-101B-9397-08002B2CF9AE}" pid="4" name="ICV">
    <vt:lpwstr>CA63136533274322A621CC9B511EE572_12</vt:lpwstr>
  </property>
</Properties>
</file>