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0975F">
      <w:pPr>
        <w:pStyle w:val="3"/>
        <w:jc w:val="center"/>
      </w:pPr>
      <w:r>
        <w:rPr>
          <w:b/>
          <w:bCs/>
        </w:rPr>
        <w:t>Block / Bulk Deal Alert</w:t>
      </w:r>
    </w:p>
    <w:p w14:paraId="5BFBE968">
      <w:pPr>
        <w:pStyle w:val="4"/>
        <w:numPr>
          <w:numId w:val="0"/>
        </w:numPr>
        <w:rPr>
          <w:rFonts w:hint="default"/>
          <w:lang w:val="en-US"/>
        </w:rPr>
      </w:pPr>
      <w:r>
        <w:rPr>
          <w:rFonts w:hint="default"/>
          <w:lang w:val="en-US"/>
        </w:rPr>
        <w:t>1. API Definition</w:t>
      </w:r>
    </w:p>
    <w:p w14:paraId="61ECB47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sz w:val="22"/>
          <w:szCs w:val="22"/>
        </w:rPr>
        <w:t>The screener identifies qualifying Block Deals and Bulk Deals for a requested exchange and optional group. The EOD endpoint evaluates a completed trading day; the Live endpoint can evaluate developing deal activity during the current session. Both require time-stamped deal data for Block Deals and client-level daily quantities for Bulk Deals.</w:t>
      </w:r>
    </w:p>
    <w:p w14:paraId="2165121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sz w:val="22"/>
          <w:szCs w:val="22"/>
        </w:rPr>
        <w:t>Use daily EOD data and, on the Live endpoint, current live daily data only. Do not use 15-, 30-, or 60-minute candle bars. The specified deal timestamps and 1:45–2:00 PM VWAP use time-stamped deal/market data, not interval candles.</w:t>
      </w:r>
    </w:p>
    <w:p w14:paraId="233F89A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eastAsiaTheme="minorEastAsia"/>
          <w:sz w:val="22"/>
          <w:szCs w:val="22"/>
        </w:rPr>
        <w:t>Block Deal and Bulk Deal conditions are evaluated independently. A security may qualify for one alert type, both types, or neither.</w:t>
      </w:r>
    </w:p>
    <w:p w14:paraId="650F9663">
      <w:pPr>
        <w:pStyle w:val="4"/>
        <w:numPr>
          <w:numId w:val="0"/>
        </w:numPr>
        <w:rPr>
          <w:rFonts w:hint="default"/>
          <w:lang w:val="en-US"/>
        </w:rPr>
      </w:pPr>
      <w:r>
        <w:rPr>
          <w:rFonts w:hint="default"/>
          <w:lang w:val="en-US"/>
        </w:rPr>
        <w:t>Block Deal</w:t>
      </w:r>
    </w:p>
    <w:p w14:paraId="38CB0BA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eastAsiaTheme="minorEastAsia"/>
          <w:sz w:val="22"/>
          <w:szCs w:val="22"/>
        </w:rPr>
        <w:t>A Block Deal qualifies when all of the following supplied conditions are satisfied:</w:t>
      </w:r>
    </w:p>
    <w:p w14:paraId="7C40A1E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Deal Value = Quantity × Trade Price &gt;= INR 25 crore</w:t>
      </w:r>
    </w:p>
    <w:p w14:paraId="6C19921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Trade time is in 8:45–9:00 AM OR 2:05–2:20 PM</w:t>
      </w:r>
    </w:p>
    <w:p w14:paraId="718CB22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Trade Price is within ±3% of the window-specific reference price</w:t>
      </w:r>
    </w:p>
    <w:p w14:paraId="7FC0BCE4">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eastAsiaTheme="minorEastAsia"/>
          <w:sz w:val="22"/>
          <w:szCs w:val="22"/>
        </w:rPr>
        <w:t>Morning reference price = previous trading day Close.</w:t>
      </w:r>
    </w:p>
    <w:p w14:paraId="01327A06">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2"/>
          <w:szCs w:val="22"/>
        </w:rPr>
        <w:t>Afternoon reference price = VWAP for 1:45–2:00 PM on the current trading day.</w:t>
      </w:r>
    </w:p>
    <w:p w14:paraId="09F26B7F">
      <w:pPr>
        <w:pStyle w:val="4"/>
        <w:numPr>
          <w:numId w:val="0"/>
        </w:numPr>
        <w:rPr>
          <w:rFonts w:hint="default"/>
          <w:lang w:val="en-US"/>
        </w:rPr>
      </w:pPr>
      <w:r>
        <w:rPr>
          <w:rFonts w:hint="default"/>
          <w:lang w:val="en-US"/>
        </w:rPr>
        <w:t>Bulk Deal</w:t>
      </w:r>
    </w:p>
    <w:p w14:paraId="7E92EE4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eastAsiaTheme="minorEastAsia"/>
          <w:sz w:val="22"/>
          <w:szCs w:val="22"/>
        </w:rPr>
        <w:t>For each client and security, calculate the client’s total quantity for the trading day as a percentage of total listed shares:</w:t>
      </w:r>
    </w:p>
    <w:p w14:paraId="1FC8F48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Bulk % = Client total Quantity for the day / Total listed shares × 100</w:t>
      </w:r>
    </w:p>
    <w:p w14:paraId="6290673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Qualify when Bulk % &gt; 0.5%</w:t>
      </w:r>
    </w:p>
    <w:p w14:paraId="2F1FF6AA">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eastAsiaTheme="minorEastAsia"/>
          <w:sz w:val="22"/>
          <w:szCs w:val="22"/>
        </w:rPr>
        <w:t>The threshold is strict: exactly 0.5% does not satisfy &gt; 0.5%. The supplied rules do not define whether client quantity combines buy and sell executions or is evaluated separately by side; confirm before implementation.</w:t>
      </w:r>
    </w:p>
    <w:p w14:paraId="60396535">
      <w:pPr>
        <w:pStyle w:val="4"/>
        <w:numPr>
          <w:numId w:val="0"/>
        </w:numPr>
        <w:rPr>
          <w:rFonts w:hint="default"/>
          <w:lang w:val="en-US"/>
        </w:rPr>
      </w:pPr>
      <w:r>
        <w:rPr>
          <w:rFonts w:hint="default"/>
          <w:lang w:val="en-US"/>
        </w:rPr>
        <w:t>2. Request</w:t>
      </w:r>
    </w:p>
    <w:p w14:paraId="3CF59EAE">
      <w:pPr>
        <w:pStyle w:val="4"/>
        <w:bidi w:val="0"/>
        <w:rPr>
          <w:rFonts w:hint="default" w:ascii="Calibri" w:hAnsi="Calibri" w:cs="Calibri" w:eastAsiaTheme="minorEastAsia"/>
          <w:sz w:val="24"/>
          <w:szCs w:val="24"/>
        </w:rPr>
      </w:pPr>
      <w:r>
        <w:rPr>
          <w:rFonts w:hint="default"/>
          <w:sz w:val="24"/>
          <w:szCs w:val="24"/>
        </w:rPr>
        <w:t>2.1 Endpoint</w:t>
      </w:r>
    </w:p>
    <w:tbl>
      <w:tblPr>
        <w:tblStyle w:val="12"/>
        <w:tblW w:w="9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7543"/>
      </w:tblGrid>
      <w:tr w14:paraId="00B1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B9A7E47">
            <w:pPr>
              <w:spacing w:after="0"/>
            </w:pPr>
            <w:r>
              <w:rPr>
                <w:rFonts w:ascii="Calibri" w:hAnsi="Calibri"/>
                <w:sz w:val="21"/>
              </w:rPr>
              <w:t>Method</w:t>
            </w:r>
          </w:p>
        </w:tc>
        <w:tc>
          <w:tcPr>
            <w:tcW w:w="754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40BAB3F">
            <w:pPr>
              <w:spacing w:after="0"/>
            </w:pPr>
            <w:r>
              <w:rPr>
                <w:rFonts w:ascii="Calibri" w:hAnsi="Calibri"/>
                <w:sz w:val="21"/>
              </w:rPr>
              <w:t>Endpoint</w:t>
            </w:r>
          </w:p>
        </w:tc>
      </w:tr>
      <w:tr w14:paraId="3112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596713C">
            <w:pPr>
              <w:spacing w:after="0"/>
              <w:rPr>
                <w:sz w:val="20"/>
                <w:szCs w:val="20"/>
              </w:rPr>
            </w:pPr>
            <w:r>
              <w:rPr>
                <w:rFonts w:ascii="Calibri" w:hAnsi="Calibri"/>
                <w:sz w:val="20"/>
                <w:szCs w:val="20"/>
              </w:rPr>
              <w:t>GET</w:t>
            </w:r>
          </w:p>
        </w:tc>
        <w:tc>
          <w:tcPr>
            <w:tcW w:w="75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12BF3A">
            <w:pPr>
              <w:spacing w:after="0"/>
              <w:rPr>
                <w:sz w:val="20"/>
                <w:szCs w:val="20"/>
              </w:rPr>
            </w:pPr>
            <w:r>
              <w:rPr>
                <w:rFonts w:ascii="Calibri" w:hAnsi="Calibri"/>
                <w:sz w:val="20"/>
                <w:szCs w:val="20"/>
              </w:rPr>
              <w:t>/api/eodanalytics/TechnicalScreeners/BlockBulkDealAlert/{exchange}/{groupName?}</w:t>
            </w:r>
          </w:p>
        </w:tc>
      </w:tr>
      <w:tr w14:paraId="518C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386B06">
            <w:pPr>
              <w:spacing w:after="0"/>
              <w:rPr>
                <w:sz w:val="20"/>
                <w:szCs w:val="20"/>
              </w:rPr>
            </w:pPr>
            <w:r>
              <w:rPr>
                <w:rFonts w:ascii="Calibri" w:hAnsi="Calibri"/>
                <w:sz w:val="20"/>
                <w:szCs w:val="20"/>
              </w:rPr>
              <w:t>GET</w:t>
            </w:r>
          </w:p>
        </w:tc>
        <w:tc>
          <w:tcPr>
            <w:tcW w:w="75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54E8B2">
            <w:pPr>
              <w:spacing w:after="0"/>
              <w:rPr>
                <w:sz w:val="20"/>
                <w:szCs w:val="20"/>
              </w:rPr>
            </w:pPr>
            <w:r>
              <w:rPr>
                <w:rFonts w:ascii="Calibri" w:hAnsi="Calibri"/>
                <w:sz w:val="20"/>
                <w:szCs w:val="20"/>
              </w:rPr>
              <w:t>/api/eodanalytics/TechnicalScreenersLive/BlockBulkDealAlert/{exchange}/{groupName?}</w:t>
            </w:r>
          </w:p>
        </w:tc>
      </w:tr>
    </w:tbl>
    <w:p w14:paraId="18B91D6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Run as an EOD evaluation after the deal feed for the date is available. The endpoint path follows the existing MarketAlert convention and should be checked against the application’s final route naming.</w:t>
      </w:r>
    </w:p>
    <w:p w14:paraId="7E7CC6F7">
      <w:pPr>
        <w:pStyle w:val="4"/>
        <w:numPr>
          <w:numId w:val="0"/>
        </w:numPr>
        <w:rPr>
          <w:rFonts w:hint="default"/>
          <w:lang w:val="en-US"/>
        </w:rPr>
      </w:pPr>
      <w:r>
        <w:rPr>
          <w:rFonts w:hint="default"/>
          <w:lang w:val="en-US"/>
        </w:rP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1445"/>
        <w:gridCol w:w="5959"/>
      </w:tblGrid>
      <w:tr w14:paraId="1D0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65CA582">
            <w:pPr>
              <w:spacing w:after="0"/>
            </w:pPr>
            <w:r>
              <w:rPr>
                <w:rFonts w:ascii="Calibri" w:hAnsi="Calibri"/>
                <w:b/>
                <w:sz w:val="21"/>
              </w:rPr>
              <w:t>Parameter</w:t>
            </w:r>
          </w:p>
        </w:tc>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BD9B560">
            <w:pPr>
              <w:spacing w:after="0"/>
            </w:pPr>
            <w:r>
              <w:rPr>
                <w:rFonts w:ascii="Calibri" w:hAnsi="Calibri"/>
                <w:b/>
                <w:sz w:val="21"/>
              </w:rPr>
              <w:t>Required</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0EAD404">
            <w:pPr>
              <w:spacing w:after="0"/>
            </w:pPr>
            <w:r>
              <w:rPr>
                <w:rFonts w:ascii="Calibri" w:hAnsi="Calibri"/>
                <w:b/>
                <w:sz w:val="21"/>
              </w:rPr>
              <w:t>Description</w:t>
            </w:r>
          </w:p>
        </w:tc>
      </w:tr>
      <w:tr w14:paraId="67B6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EA4796">
            <w:pPr>
              <w:spacing w:after="0"/>
              <w:rPr>
                <w:sz w:val="20"/>
                <w:szCs w:val="20"/>
              </w:rPr>
            </w:pPr>
            <w:r>
              <w:rPr>
                <w:rFonts w:ascii="Calibri" w:hAnsi="Calibri"/>
                <w:sz w:val="20"/>
                <w:szCs w:val="20"/>
              </w:rPr>
              <w:t>exchange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C2A4A6">
            <w:pPr>
              <w:spacing w:after="0"/>
              <w:rPr>
                <w:sz w:val="20"/>
                <w:szCs w:val="20"/>
              </w:rPr>
            </w:pPr>
            <w:r>
              <w:rPr>
                <w:rFonts w:ascii="Calibri" w:hAnsi="Calibri"/>
                <w:sz w:val="20"/>
                <w:szCs w:val="20"/>
              </w:rPr>
              <w:t>Yes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5FA3FC">
            <w:pPr>
              <w:spacing w:after="0"/>
              <w:rPr>
                <w:sz w:val="20"/>
                <w:szCs w:val="20"/>
              </w:rPr>
            </w:pPr>
            <w:r>
              <w:rPr>
                <w:rFonts w:ascii="Calibri" w:hAnsi="Calibri"/>
                <w:sz w:val="20"/>
                <w:szCs w:val="20"/>
              </w:rPr>
              <w:t>Exchange to evaluate, such as NSE or BSE.</w:t>
            </w:r>
          </w:p>
        </w:tc>
      </w:tr>
      <w:tr w14:paraId="7B2B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E0ABBF">
            <w:pPr>
              <w:rPr>
                <w:sz w:val="20"/>
                <w:szCs w:val="20"/>
              </w:rPr>
            </w:pPr>
            <w:r>
              <w:rPr>
                <w:sz w:val="20"/>
                <w:szCs w:val="20"/>
              </w:rPr>
              <w:t>groupName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BDC71D">
            <w:pPr>
              <w:spacing w:after="0"/>
              <w:rPr>
                <w:sz w:val="20"/>
                <w:szCs w:val="20"/>
              </w:rPr>
            </w:pPr>
            <w:r>
              <w:rPr>
                <w:rFonts w:ascii="Calibri" w:hAnsi="Calibri"/>
                <w:sz w:val="20"/>
                <w:szCs w:val="20"/>
              </w:rPr>
              <w:t>No</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C84E72">
            <w:pPr>
              <w:rPr>
                <w:sz w:val="20"/>
                <w:szCs w:val="20"/>
              </w:rPr>
            </w:pPr>
            <w:r>
              <w:rPr>
                <w:sz w:val="20"/>
                <w:szCs w:val="20"/>
              </w:rPr>
              <w:t>Optional filter for a configured group of securities; this follows existing TechnicalScreeners routes, not a ticker path parameter.</w:t>
            </w:r>
          </w:p>
        </w:tc>
      </w:tr>
    </w:tbl>
    <w:p w14:paraId="4F68D579">
      <w:pPr>
        <w:pStyle w:val="4"/>
        <w:bidi w:val="0"/>
        <w:rPr>
          <w:rFonts w:hint="default" w:ascii="Calibri" w:hAnsi="Calibri" w:cs="Calibri" w:eastAsiaTheme="minorEastAsia"/>
          <w:szCs w:val="21"/>
        </w:rPr>
      </w:pPr>
      <w:r>
        <w:rPr>
          <w:rFonts w:hint="default"/>
          <w:sz w:val="24"/>
          <w:szCs w:val="24"/>
        </w:rPr>
        <w:t>2.2 Evaluation Scope</w:t>
      </w:r>
    </w:p>
    <w:p w14:paraId="33C0B3F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t>The EOD route evaluates the latest completed trading date after its source data is available. The Live route evaluates current-session data provisionally. Use the MarketStatusService and configured exchange/segment timing where market-open gating is required; do not hard-code the session schedule.</w:t>
      </w:r>
    </w:p>
    <w:p w14:paraId="2A6C9735">
      <w:pPr>
        <w:pStyle w:val="4"/>
        <w:numPr>
          <w:numId w:val="0"/>
        </w:numPr>
        <w:rPr>
          <w:rFonts w:hint="default"/>
          <w:lang w:val="en-US"/>
        </w:rPr>
      </w:pPr>
      <w:r>
        <w:rPr>
          <w:rFonts w:hint="default"/>
          <w:lang w:val="en-US"/>
        </w:rPr>
        <w:t>3. Response</w:t>
      </w:r>
    </w:p>
    <w:p w14:paraId="1A96C5D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Return qualifying alert records with their alert type, trade/client identifiers where permitted, calculation inputs, reference values, and trading date. Field names and response envelope below are suggested; align with existing MarketAlert conventions.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6"/>
        <w:gridCol w:w="1354"/>
        <w:gridCol w:w="5688"/>
      </w:tblGrid>
      <w:tr w14:paraId="5181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6"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294DC26">
            <w:pPr>
              <w:spacing w:after="0"/>
            </w:pPr>
            <w:r>
              <w:rPr>
                <w:rFonts w:ascii="Calibri" w:hAnsi="Calibri"/>
                <w:b/>
                <w:sz w:val="21"/>
              </w:rPr>
              <w:t>Field</w:t>
            </w:r>
          </w:p>
        </w:tc>
        <w:tc>
          <w:tcPr>
            <w:tcW w:w="135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8760313">
            <w:pPr>
              <w:spacing w:after="0"/>
            </w:pPr>
            <w:r>
              <w:rPr>
                <w:rFonts w:ascii="Calibri" w:hAnsi="Calibri"/>
                <w:b/>
                <w:sz w:val="21"/>
              </w:rPr>
              <w:t>Type</w:t>
            </w:r>
          </w:p>
        </w:tc>
        <w:tc>
          <w:tcPr>
            <w:tcW w:w="568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5D32BD6">
            <w:pPr>
              <w:spacing w:after="0"/>
            </w:pPr>
            <w:r>
              <w:rPr>
                <w:rFonts w:ascii="Calibri" w:hAnsi="Calibri"/>
                <w:b/>
                <w:sz w:val="21"/>
              </w:rPr>
              <w:t>Description</w:t>
            </w:r>
          </w:p>
        </w:tc>
      </w:tr>
      <w:tr w14:paraId="4306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4B24C4D">
            <w:pPr>
              <w:spacing w:after="0"/>
              <w:rPr>
                <w:sz w:val="20"/>
                <w:szCs w:val="20"/>
              </w:rPr>
            </w:pPr>
            <w:r>
              <w:rPr>
                <w:rFonts w:ascii="Calibri" w:hAnsi="Calibri"/>
                <w:sz w:val="20"/>
                <w:szCs w:val="20"/>
              </w:rPr>
              <w:t>timeStamp</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AE348A1">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6DDA6A">
            <w:pPr>
              <w:spacing w:after="0"/>
              <w:rPr>
                <w:sz w:val="20"/>
                <w:szCs w:val="20"/>
              </w:rPr>
            </w:pPr>
            <w:r>
              <w:rPr>
                <w:rFonts w:ascii="Calibri" w:hAnsi="Calibri"/>
                <w:sz w:val="20"/>
                <w:szCs w:val="20"/>
              </w:rPr>
              <w:t>EOD evaluation timestamp.</w:t>
            </w:r>
          </w:p>
        </w:tc>
      </w:tr>
      <w:tr w14:paraId="4B63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004593">
            <w:pPr>
              <w:spacing w:after="0"/>
              <w:rPr>
                <w:sz w:val="20"/>
                <w:szCs w:val="20"/>
              </w:rPr>
            </w:pPr>
            <w:r>
              <w:rPr>
                <w:rFonts w:ascii="Calibri" w:hAnsi="Calibri"/>
                <w:sz w:val="20"/>
                <w:szCs w:val="20"/>
              </w:rPr>
              <w:t>exchange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194E29">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511117">
            <w:pPr>
              <w:spacing w:after="0"/>
              <w:rPr>
                <w:sz w:val="20"/>
                <w:szCs w:val="20"/>
              </w:rPr>
            </w:pPr>
            <w:r>
              <w:rPr>
                <w:rFonts w:ascii="Calibri" w:hAnsi="Calibri"/>
                <w:sz w:val="20"/>
                <w:szCs w:val="20"/>
              </w:rPr>
              <w:t>Exchange requested.</w:t>
            </w:r>
          </w:p>
        </w:tc>
      </w:tr>
      <w:tr w14:paraId="518D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7B2505C">
            <w:pPr>
              <w:spacing w:after="0"/>
              <w:rPr>
                <w:sz w:val="20"/>
                <w:szCs w:val="20"/>
              </w:rPr>
            </w:pPr>
            <w:r>
              <w:rPr>
                <w:rFonts w:ascii="Calibri" w:hAnsi="Calibri"/>
                <w:sz w:val="20"/>
                <w:szCs w:val="20"/>
              </w:rPr>
              <w:t>ticker</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2579DAE">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8A19B5">
            <w:pPr>
              <w:spacing w:after="0"/>
              <w:rPr>
                <w:sz w:val="20"/>
                <w:szCs w:val="20"/>
              </w:rPr>
            </w:pPr>
            <w:r>
              <w:rPr>
                <w:rFonts w:ascii="Calibri" w:hAnsi="Calibri"/>
                <w:sz w:val="20"/>
                <w:szCs w:val="20"/>
              </w:rPr>
              <w:t>Security ticker.</w:t>
            </w:r>
          </w:p>
        </w:tc>
      </w:tr>
      <w:tr w14:paraId="418B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B410AC">
            <w:pPr>
              <w:spacing w:after="0"/>
              <w:rPr>
                <w:sz w:val="20"/>
                <w:szCs w:val="20"/>
              </w:rPr>
            </w:pPr>
            <w:r>
              <w:rPr>
                <w:rFonts w:ascii="Calibri" w:hAnsi="Calibri"/>
                <w:sz w:val="20"/>
                <w:szCs w:val="20"/>
              </w:rPr>
              <w:t>token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71C8FB">
            <w:pPr>
              <w:spacing w:after="0"/>
              <w:rPr>
                <w:sz w:val="20"/>
                <w:szCs w:val="20"/>
              </w:rPr>
            </w:pPr>
            <w:r>
              <w:rPr>
                <w:rFonts w:ascii="Calibri" w:hAnsi="Calibri"/>
                <w:sz w:val="20"/>
                <w:szCs w:val="20"/>
              </w:rPr>
              <w:t>long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208C45">
            <w:pPr>
              <w:spacing w:after="0"/>
              <w:rPr>
                <w:sz w:val="20"/>
                <w:szCs w:val="20"/>
              </w:rPr>
            </w:pPr>
            <w:r>
              <w:rPr>
                <w:rFonts w:ascii="Calibri" w:hAnsi="Calibri"/>
                <w:sz w:val="20"/>
                <w:szCs w:val="20"/>
              </w:rPr>
              <w:t>Security/token identifier.</w:t>
            </w:r>
          </w:p>
        </w:tc>
      </w:tr>
      <w:tr w14:paraId="628F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2D4610">
            <w:pPr>
              <w:spacing w:after="0"/>
              <w:rPr>
                <w:sz w:val="20"/>
                <w:szCs w:val="20"/>
              </w:rPr>
            </w:pPr>
            <w:r>
              <w:rPr>
                <w:rFonts w:ascii="Calibri" w:hAnsi="Calibri"/>
                <w:sz w:val="20"/>
                <w:szCs w:val="20"/>
              </w:rPr>
              <w:t>alertType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2E36BF">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7F14D6">
            <w:pPr>
              <w:spacing w:after="0"/>
              <w:rPr>
                <w:sz w:val="20"/>
                <w:szCs w:val="20"/>
              </w:rPr>
            </w:pPr>
            <w:r>
              <w:rPr>
                <w:rFonts w:ascii="Calibri" w:hAnsi="Calibri"/>
                <w:sz w:val="20"/>
                <w:szCs w:val="20"/>
              </w:rPr>
              <w:t>Block Deal or Bulk Deal.</w:t>
            </w:r>
          </w:p>
        </w:tc>
      </w:tr>
      <w:tr w14:paraId="686E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CE3808">
            <w:pPr>
              <w:spacing w:after="0"/>
              <w:rPr>
                <w:sz w:val="20"/>
                <w:szCs w:val="20"/>
              </w:rPr>
            </w:pPr>
            <w:r>
              <w:rPr>
                <w:rFonts w:ascii="Calibri" w:hAnsi="Calibri"/>
                <w:sz w:val="20"/>
                <w:szCs w:val="20"/>
              </w:rPr>
              <w:t>isAlertDetected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2F587E">
            <w:pPr>
              <w:spacing w:after="0"/>
              <w:rPr>
                <w:sz w:val="20"/>
                <w:szCs w:val="20"/>
              </w:rPr>
            </w:pPr>
            <w:r>
              <w:rPr>
                <w:rFonts w:ascii="Calibri" w:hAnsi="Calibri"/>
                <w:sz w:val="20"/>
                <w:szCs w:val="20"/>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1E636B">
            <w:pPr>
              <w:spacing w:after="0"/>
              <w:rPr>
                <w:sz w:val="20"/>
                <w:szCs w:val="20"/>
              </w:rPr>
            </w:pPr>
            <w:r>
              <w:rPr>
                <w:rFonts w:ascii="Calibri" w:hAnsi="Calibri"/>
                <w:sz w:val="20"/>
                <w:szCs w:val="20"/>
              </w:rPr>
              <w:t>Whether the corresponding supplied rule is satisfied.</w:t>
            </w:r>
          </w:p>
        </w:tc>
      </w:tr>
      <w:tr w14:paraId="2226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6CE2B7">
            <w:pPr>
              <w:spacing w:after="0"/>
              <w:rPr>
                <w:sz w:val="20"/>
                <w:szCs w:val="20"/>
              </w:rPr>
            </w:pPr>
            <w:r>
              <w:rPr>
                <w:rFonts w:ascii="Calibri" w:hAnsi="Calibri"/>
                <w:sz w:val="20"/>
                <w:szCs w:val="20"/>
              </w:rPr>
              <w:t>dealDate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5B002C9">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066522">
            <w:pPr>
              <w:spacing w:after="0"/>
              <w:rPr>
                <w:sz w:val="20"/>
                <w:szCs w:val="20"/>
              </w:rPr>
            </w:pPr>
            <w:r>
              <w:rPr>
                <w:rFonts w:ascii="Calibri" w:hAnsi="Calibri"/>
                <w:sz w:val="20"/>
                <w:szCs w:val="20"/>
              </w:rPr>
              <w:t>Trading date.</w:t>
            </w:r>
          </w:p>
        </w:tc>
      </w:tr>
      <w:tr w14:paraId="0F2E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AB56F3">
            <w:pPr>
              <w:spacing w:after="0"/>
              <w:rPr>
                <w:sz w:val="20"/>
                <w:szCs w:val="20"/>
              </w:rPr>
            </w:pPr>
            <w:r>
              <w:rPr>
                <w:rFonts w:ascii="Calibri" w:hAnsi="Calibri"/>
                <w:sz w:val="20"/>
                <w:szCs w:val="20"/>
              </w:rPr>
              <w:t>clientId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806B75">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41A812">
            <w:pPr>
              <w:spacing w:after="0"/>
              <w:rPr>
                <w:sz w:val="20"/>
                <w:szCs w:val="20"/>
              </w:rPr>
            </w:pPr>
            <w:r>
              <w:rPr>
                <w:rFonts w:ascii="Calibri" w:hAnsi="Calibri"/>
                <w:sz w:val="20"/>
                <w:szCs w:val="20"/>
              </w:rPr>
              <w:t>Client identifier, if supplied and allowed in the API.</w:t>
            </w:r>
          </w:p>
        </w:tc>
      </w:tr>
      <w:tr w14:paraId="2C23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303E96">
            <w:pPr>
              <w:spacing w:after="0"/>
              <w:rPr>
                <w:sz w:val="20"/>
                <w:szCs w:val="20"/>
              </w:rPr>
            </w:pPr>
            <w:r>
              <w:rPr>
                <w:rFonts w:ascii="Calibri" w:hAnsi="Calibri"/>
                <w:sz w:val="20"/>
                <w:szCs w:val="20"/>
              </w:rPr>
              <w:t>dealWindow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2EF901">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75B528">
            <w:pPr>
              <w:spacing w:after="0"/>
              <w:rPr>
                <w:sz w:val="20"/>
                <w:szCs w:val="20"/>
              </w:rPr>
            </w:pPr>
            <w:r>
              <w:rPr>
                <w:rFonts w:ascii="Calibri" w:hAnsi="Calibri"/>
                <w:sz w:val="20"/>
                <w:szCs w:val="20"/>
              </w:rPr>
              <w:t>Morning, Afternoon, or null for a Bulk Deal.</w:t>
            </w:r>
          </w:p>
        </w:tc>
      </w:tr>
      <w:tr w14:paraId="7B03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90C05C">
            <w:pPr>
              <w:spacing w:after="0"/>
              <w:rPr>
                <w:sz w:val="20"/>
                <w:szCs w:val="20"/>
              </w:rPr>
            </w:pPr>
            <w:r>
              <w:rPr>
                <w:rFonts w:ascii="Calibri" w:hAnsi="Calibri"/>
                <w:sz w:val="20"/>
                <w:szCs w:val="20"/>
              </w:rPr>
              <w:t>dealTime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59631A5">
            <w:pPr>
              <w:spacing w:after="0"/>
              <w:rPr>
                <w:sz w:val="20"/>
                <w:szCs w:val="20"/>
              </w:rPr>
            </w:pPr>
            <w:r>
              <w:rPr>
                <w:rFonts w:ascii="Calibri" w:hAnsi="Calibri"/>
                <w:sz w:val="20"/>
                <w:szCs w:val="20"/>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92A8C1">
            <w:pPr>
              <w:spacing w:after="0"/>
              <w:rPr>
                <w:sz w:val="20"/>
                <w:szCs w:val="20"/>
              </w:rPr>
            </w:pPr>
            <w:r>
              <w:rPr>
                <w:rFonts w:ascii="Calibri" w:hAnsi="Calibri"/>
                <w:sz w:val="20"/>
                <w:szCs w:val="20"/>
              </w:rPr>
              <w:t>Deal execution time, when applicable.</w:t>
            </w:r>
          </w:p>
        </w:tc>
      </w:tr>
      <w:tr w14:paraId="0D35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F17E101">
            <w:pPr>
              <w:spacing w:after="0"/>
              <w:rPr>
                <w:sz w:val="20"/>
                <w:szCs w:val="20"/>
              </w:rPr>
            </w:pPr>
            <w:r>
              <w:rPr>
                <w:rFonts w:ascii="Calibri" w:hAnsi="Calibri"/>
                <w:sz w:val="20"/>
                <w:szCs w:val="20"/>
              </w:rPr>
              <w:t>quantity</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DC9BA3">
            <w:pPr>
              <w:spacing w:after="0"/>
              <w:rPr>
                <w:sz w:val="20"/>
                <w:szCs w:val="20"/>
              </w:rPr>
            </w:pPr>
            <w:r>
              <w:rPr>
                <w:rFonts w:ascii="Calibri" w:hAnsi="Calibri"/>
                <w:sz w:val="20"/>
                <w:szCs w:val="20"/>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EBBE82">
            <w:pPr>
              <w:spacing w:after="0"/>
              <w:rPr>
                <w:sz w:val="20"/>
                <w:szCs w:val="20"/>
              </w:rPr>
            </w:pPr>
            <w:r>
              <w:rPr>
                <w:rFonts w:ascii="Calibri" w:hAnsi="Calibri"/>
                <w:sz w:val="20"/>
                <w:szCs w:val="20"/>
              </w:rPr>
              <w:t>Transaction quantity for a Block Deal, or client daily quantity for a Bulk Deal.</w:t>
            </w:r>
          </w:p>
        </w:tc>
      </w:tr>
      <w:tr w14:paraId="3236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C19DFE">
            <w:pPr>
              <w:spacing w:after="0"/>
              <w:rPr>
                <w:sz w:val="20"/>
                <w:szCs w:val="20"/>
              </w:rPr>
            </w:pPr>
            <w:r>
              <w:rPr>
                <w:rFonts w:ascii="Calibri" w:hAnsi="Calibri"/>
                <w:sz w:val="20"/>
                <w:szCs w:val="20"/>
              </w:rPr>
              <w:t>tradePrice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E49444">
            <w:pPr>
              <w:spacing w:after="0"/>
              <w:rPr>
                <w:sz w:val="20"/>
                <w:szCs w:val="20"/>
              </w:rPr>
            </w:pPr>
            <w:r>
              <w:rPr>
                <w:rFonts w:ascii="Calibri" w:hAnsi="Calibri"/>
                <w:sz w:val="20"/>
                <w:szCs w:val="20"/>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F6B517">
            <w:pPr>
              <w:spacing w:after="0"/>
              <w:rPr>
                <w:sz w:val="20"/>
                <w:szCs w:val="20"/>
              </w:rPr>
            </w:pPr>
            <w:r>
              <w:rPr>
                <w:rFonts w:ascii="Calibri" w:hAnsi="Calibri"/>
                <w:sz w:val="20"/>
                <w:szCs w:val="20"/>
              </w:rPr>
              <w:t>Execution price for a Block Deal.</w:t>
            </w:r>
          </w:p>
        </w:tc>
      </w:tr>
      <w:tr w14:paraId="0564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1AB67D5">
            <w:pPr>
              <w:spacing w:after="0"/>
              <w:rPr>
                <w:sz w:val="20"/>
                <w:szCs w:val="20"/>
              </w:rPr>
            </w:pPr>
            <w:r>
              <w:rPr>
                <w:rFonts w:ascii="Calibri" w:hAnsi="Calibri"/>
                <w:sz w:val="20"/>
                <w:szCs w:val="20"/>
              </w:rPr>
              <w:t>dealValue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6C5A71">
            <w:pPr>
              <w:spacing w:after="0"/>
              <w:rPr>
                <w:sz w:val="20"/>
                <w:szCs w:val="20"/>
              </w:rPr>
            </w:pPr>
            <w:r>
              <w:rPr>
                <w:rFonts w:ascii="Calibri" w:hAnsi="Calibri"/>
                <w:sz w:val="20"/>
                <w:szCs w:val="20"/>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F83DC4">
            <w:pPr>
              <w:spacing w:after="0"/>
              <w:rPr>
                <w:sz w:val="20"/>
                <w:szCs w:val="20"/>
              </w:rPr>
            </w:pPr>
            <w:r>
              <w:rPr>
                <w:rFonts w:ascii="Calibri" w:hAnsi="Calibri"/>
                <w:sz w:val="20"/>
                <w:szCs w:val="20"/>
              </w:rPr>
              <w:t>Quantity × Trade Price for a Block Deal.</w:t>
            </w:r>
          </w:p>
        </w:tc>
      </w:tr>
      <w:tr w14:paraId="1617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2F7FEC">
            <w:pPr>
              <w:spacing w:after="0"/>
              <w:rPr>
                <w:sz w:val="20"/>
                <w:szCs w:val="20"/>
              </w:rPr>
            </w:pPr>
            <w:r>
              <w:rPr>
                <w:rFonts w:ascii="Calibri" w:hAnsi="Calibri"/>
                <w:sz w:val="20"/>
                <w:szCs w:val="20"/>
              </w:rPr>
              <w:t>referencePrice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CF16C05">
            <w:pPr>
              <w:spacing w:after="0"/>
              <w:rPr>
                <w:sz w:val="20"/>
                <w:szCs w:val="20"/>
              </w:rPr>
            </w:pPr>
            <w:r>
              <w:rPr>
                <w:rFonts w:ascii="Calibri" w:hAnsi="Calibri"/>
                <w:sz w:val="20"/>
                <w:szCs w:val="20"/>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A3CB62">
            <w:pPr>
              <w:spacing w:after="0"/>
              <w:rPr>
                <w:sz w:val="20"/>
                <w:szCs w:val="20"/>
              </w:rPr>
            </w:pPr>
            <w:r>
              <w:rPr>
                <w:rFonts w:ascii="Calibri" w:hAnsi="Calibri"/>
                <w:sz w:val="20"/>
                <w:szCs w:val="20"/>
              </w:rPr>
              <w:t>Previous close for morning block; 1:45–2:00 PM VWAP for afternoon block.</w:t>
            </w:r>
          </w:p>
        </w:tc>
      </w:tr>
      <w:tr w14:paraId="482E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DAC9B5">
            <w:pPr>
              <w:spacing w:after="0"/>
              <w:rPr>
                <w:sz w:val="20"/>
                <w:szCs w:val="20"/>
              </w:rPr>
            </w:pPr>
            <w:r>
              <w:rPr>
                <w:rFonts w:ascii="Calibri" w:hAnsi="Calibri"/>
                <w:sz w:val="20"/>
                <w:szCs w:val="20"/>
              </w:rPr>
              <w:t>priceDeviationPercent</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2E32DD">
            <w:pPr>
              <w:spacing w:after="0"/>
              <w:rPr>
                <w:sz w:val="20"/>
                <w:szCs w:val="20"/>
              </w:rPr>
            </w:pPr>
            <w:r>
              <w:rPr>
                <w:rFonts w:ascii="Calibri" w:hAnsi="Calibri"/>
                <w:sz w:val="20"/>
                <w:szCs w:val="20"/>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00BE03">
            <w:pPr>
              <w:spacing w:after="0"/>
              <w:rPr>
                <w:sz w:val="20"/>
                <w:szCs w:val="20"/>
              </w:rPr>
            </w:pPr>
            <w:r>
              <w:rPr>
                <w:rFonts w:ascii="Calibri" w:hAnsi="Calibri"/>
                <w:sz w:val="20"/>
                <w:szCs w:val="20"/>
              </w:rPr>
              <w:t>(Trade Price − Reference Price) / Reference Price × 100.</w:t>
            </w:r>
          </w:p>
        </w:tc>
      </w:tr>
      <w:tr w14:paraId="2C90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1981DB">
            <w:pPr>
              <w:spacing w:after="0"/>
              <w:rPr>
                <w:sz w:val="20"/>
                <w:szCs w:val="20"/>
              </w:rPr>
            </w:pPr>
            <w:r>
              <w:rPr>
                <w:rFonts w:ascii="Calibri" w:hAnsi="Calibri"/>
                <w:sz w:val="20"/>
                <w:szCs w:val="20"/>
              </w:rPr>
              <w:t>listedShares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C77F85B">
            <w:pPr>
              <w:spacing w:after="0"/>
              <w:rPr>
                <w:sz w:val="20"/>
                <w:szCs w:val="20"/>
              </w:rPr>
            </w:pPr>
            <w:r>
              <w:rPr>
                <w:rFonts w:ascii="Calibri" w:hAnsi="Calibri"/>
                <w:sz w:val="20"/>
                <w:szCs w:val="20"/>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F52202">
            <w:pPr>
              <w:spacing w:after="0"/>
              <w:rPr>
                <w:sz w:val="20"/>
                <w:szCs w:val="20"/>
              </w:rPr>
            </w:pPr>
            <w:r>
              <w:rPr>
                <w:rFonts w:ascii="Calibri" w:hAnsi="Calibri"/>
                <w:sz w:val="20"/>
                <w:szCs w:val="20"/>
              </w:rPr>
              <w:t>Total listed shares used for Bulk %.</w:t>
            </w:r>
          </w:p>
        </w:tc>
      </w:tr>
      <w:tr w14:paraId="0EB6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82C6ECA">
            <w:pPr>
              <w:spacing w:after="0"/>
              <w:rPr>
                <w:sz w:val="20"/>
                <w:szCs w:val="20"/>
              </w:rPr>
            </w:pPr>
            <w:r>
              <w:rPr>
                <w:rFonts w:ascii="Calibri" w:hAnsi="Calibri"/>
                <w:sz w:val="20"/>
                <w:szCs w:val="20"/>
              </w:rPr>
              <w:t>bulkPercent</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D6E34F">
            <w:pPr>
              <w:spacing w:after="0"/>
              <w:rPr>
                <w:sz w:val="20"/>
                <w:szCs w:val="20"/>
              </w:rPr>
            </w:pPr>
            <w:r>
              <w:rPr>
                <w:rFonts w:ascii="Calibri" w:hAnsi="Calibri"/>
                <w:sz w:val="20"/>
                <w:szCs w:val="20"/>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8BCA4B">
            <w:pPr>
              <w:spacing w:after="0"/>
              <w:rPr>
                <w:sz w:val="20"/>
                <w:szCs w:val="20"/>
              </w:rPr>
            </w:pPr>
            <w:r>
              <w:rPr>
                <w:rFonts w:ascii="Calibri" w:hAnsi="Calibri"/>
                <w:sz w:val="20"/>
                <w:szCs w:val="20"/>
              </w:rPr>
              <w:t>Client total Quantity / Total listed shares × 100.</w:t>
            </w:r>
          </w:p>
        </w:tc>
      </w:tr>
    </w:tbl>
    <w:p w14:paraId="0A3FD08A">
      <w:pPr>
        <w:pStyle w:val="4"/>
        <w:bidi w:val="0"/>
        <w:rPr>
          <w:rFonts w:hint="default"/>
          <w:sz w:val="24"/>
          <w:szCs w:val="24"/>
        </w:rPr>
      </w:pPr>
      <w:r>
        <w:rPr>
          <w:rFonts w:hint="default"/>
          <w:sz w:val="24"/>
          <w:szCs w:val="24"/>
        </w:rPr>
        <w:t>Illustrative JSON — Block Deal</w:t>
      </w:r>
    </w:p>
    <w:p w14:paraId="74B6A78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369A98F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"2026-09-24T18:00:00",</w:t>
      </w:r>
    </w:p>
    <w:p w14:paraId="4C5D982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670F174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"data": [</w:t>
      </w:r>
    </w:p>
    <w:p w14:paraId="6932DFD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59F0BAC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"APEXECO",</w:t>
      </w:r>
    </w:p>
    <w:p w14:paraId="74B7234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"token": 5421,</w:t>
      </w:r>
    </w:p>
    <w:p w14:paraId="16007E7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"alertType": "Block Deal",</w:t>
      </w:r>
    </w:p>
    <w:p w14:paraId="78DE2F9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"isAlertDetected": true,</w:t>
      </w:r>
    </w:p>
    <w:p w14:paraId="2DEBE29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"dealDate": "2026-09-24",</w:t>
      </w:r>
    </w:p>
    <w:p w14:paraId="434FFFA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"clientId": "CLIENT001",</w:t>
      </w:r>
    </w:p>
    <w:p w14:paraId="0A77406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"dealWindow": "Morning",</w:t>
      </w:r>
    </w:p>
    <w:p w14:paraId="53916BB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"dealTime": "08:52:10",</w:t>
      </w:r>
    </w:p>
    <w:p w14:paraId="0666682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"quantity": 2000000,</w:t>
      </w:r>
    </w:p>
    <w:p w14:paraId="01AC72D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"tradePrice": 150.00,</w:t>
      </w:r>
    </w:p>
    <w:p w14:paraId="0AB9E41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"dealValue": 300000000,</w:t>
      </w:r>
    </w:p>
    <w:p w14:paraId="64B067A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"referencePrice": 149.00,</w:t>
      </w:r>
    </w:p>
    <w:p w14:paraId="4755E7A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"priceDeviationPercent": 0.67</w:t>
      </w:r>
    </w:p>
    <w:p w14:paraId="3867AD0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7521761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30D3C10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AU"/>
        </w:rPr>
      </w:pPr>
      <w:r>
        <w:rPr>
          <w:rFonts w:hint="default" w:ascii="Consolas" w:hAnsi="Consolas" w:eastAsia="Consolas" w:cs="Consolas"/>
          <w:sz w:val="17"/>
          <w:szCs w:val="17"/>
          <w:lang w:val="en-AU"/>
        </w:rPr>
        <w:t>}</w:t>
      </w:r>
    </w:p>
    <w:p w14:paraId="0E44B98B">
      <w:pPr>
        <w:pStyle w:val="4"/>
        <w:bidi w:val="0"/>
        <w:rPr>
          <w:rFonts w:hint="default"/>
          <w:sz w:val="24"/>
          <w:szCs w:val="24"/>
        </w:rPr>
      </w:pPr>
    </w:p>
    <w:p w14:paraId="3C228E65">
      <w:pPr>
        <w:pStyle w:val="4"/>
        <w:bidi w:val="0"/>
        <w:rPr>
          <w:rFonts w:hint="default"/>
          <w:sz w:val="24"/>
          <w:szCs w:val="24"/>
        </w:rPr>
      </w:pPr>
      <w:r>
        <w:rPr>
          <w:rFonts w:hint="default"/>
          <w:sz w:val="24"/>
          <w:szCs w:val="24"/>
        </w:rPr>
        <w:t>Illustrative JSON — Bulk Deal</w:t>
      </w:r>
    </w:p>
    <w:p w14:paraId="422F4B8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647B5DB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"2026-09-24T18:00:00",</w:t>
      </w:r>
    </w:p>
    <w:p w14:paraId="0849456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1E843E4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"data": [</w:t>
      </w:r>
    </w:p>
    <w:p w14:paraId="61588D4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A3CC58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"APEXECO",</w:t>
      </w:r>
    </w:p>
    <w:p w14:paraId="6515E86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"token": 5421,</w:t>
      </w:r>
    </w:p>
    <w:p w14:paraId="618691A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"alertType": "Bulk Deal",</w:t>
      </w:r>
    </w:p>
    <w:p w14:paraId="4B33508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"isAlertDetected": true,</w:t>
      </w:r>
    </w:p>
    <w:p w14:paraId="30B1759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"dealDate": "2026-09-24",</w:t>
      </w:r>
    </w:p>
    <w:p w14:paraId="6126812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"clientId": "CLIENT001",</w:t>
      </w:r>
    </w:p>
    <w:p w14:paraId="6D6E396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"quantity": 600000,</w:t>
      </w:r>
    </w:p>
    <w:p w14:paraId="2C87578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"listedShares": 100000000,</w:t>
      </w:r>
    </w:p>
    <w:p w14:paraId="3899841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"bulkPercent": 0.60</w:t>
      </w:r>
    </w:p>
    <w:p w14:paraId="23B7416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7CC301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1EAC73B3">
      <w:pPr>
        <w:pBdr>
          <w:left w:val="single" w:color="9CA3AF" w:sz="12" w:space="6"/>
        </w:pBdr>
        <w:shd w:val="clear" w:color="auto" w:fill="F3F4F6"/>
        <w:spacing w:after="160" w:line="260" w:lineRule="auto"/>
        <w:ind w:left="120" w:right="120"/>
        <w:rPr>
          <w:rFonts w:hint="default" w:ascii="Calibri" w:hAnsi="Calibri" w:cs="Calibri" w:eastAsiaTheme="minorEastAsia"/>
          <w:sz w:val="21"/>
          <w:szCs w:val="21"/>
        </w:rPr>
      </w:pPr>
      <w:r>
        <w:rPr>
          <w:rFonts w:hint="default" w:ascii="Consolas" w:hAnsi="Consolas" w:eastAsia="Consolas" w:cs="Consolas"/>
          <w:sz w:val="17"/>
          <w:szCs w:val="17"/>
          <w:lang w:val="en-AU"/>
        </w:rPr>
        <w:t>}</w:t>
      </w:r>
    </w:p>
    <w:p w14:paraId="431FC1F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examples illustrate response fields. Example quantities and prices do not add to the supplied detection rules. Confirm deal-level versus aggregated reporting and client identifier disclosure policy.</w:t>
      </w:r>
    </w:p>
    <w:p w14:paraId="4D2B86BF">
      <w:pPr>
        <w:pStyle w:val="4"/>
        <w:numPr>
          <w:numId w:val="0"/>
        </w:numPr>
        <w:rPr>
          <w:rFonts w:hint="default"/>
          <w:lang w:val="en-US"/>
        </w:rPr>
      </w:pPr>
      <w:r>
        <w:rPr>
          <w:rFonts w:hint="default"/>
          <w:lang w:val="en-US"/>
        </w:rPr>
        <w:t>4. Data Required and Data Sources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7"/>
        <w:gridCol w:w="3612"/>
        <w:gridCol w:w="3341"/>
      </w:tblGrid>
      <w:tr w14:paraId="168F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7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B3C7B9F">
            <w:pPr>
              <w:spacing w:after="0"/>
            </w:pPr>
            <w:r>
              <w:rPr>
                <w:rFonts w:ascii="Calibri" w:hAnsi="Calibri"/>
                <w:b/>
                <w:sz w:val="21"/>
              </w:rPr>
              <w:t>Data</w:t>
            </w:r>
          </w:p>
        </w:tc>
        <w:tc>
          <w:tcPr>
            <w:tcW w:w="361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37C9892">
            <w:pPr>
              <w:spacing w:after="0"/>
            </w:pPr>
            <w:r>
              <w:rPr>
                <w:rFonts w:ascii="Calibri" w:hAnsi="Calibri"/>
                <w:b/>
                <w:sz w:val="21"/>
              </w:rPr>
              <w:t>Source</w:t>
            </w:r>
          </w:p>
        </w:tc>
        <w:tc>
          <w:tcPr>
            <w:tcW w:w="334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915F8C9">
            <w:pPr>
              <w:spacing w:after="0"/>
            </w:pPr>
            <w:r>
              <w:rPr>
                <w:rFonts w:ascii="Calibri" w:hAnsi="Calibri"/>
                <w:b/>
                <w:sz w:val="21"/>
              </w:rPr>
              <w:t>Purpose</w:t>
            </w:r>
          </w:p>
        </w:tc>
      </w:tr>
      <w:tr w14:paraId="4AB6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E2BE4F">
            <w:pPr>
              <w:spacing w:after="0"/>
              <w:rPr>
                <w:sz w:val="20"/>
                <w:szCs w:val="20"/>
              </w:rPr>
            </w:pPr>
            <w:r>
              <w:rPr>
                <w:rFonts w:ascii="Calibri" w:hAnsi="Calibri"/>
                <w:sz w:val="20"/>
                <w:szCs w:val="20"/>
              </w:rPr>
              <w:t>Stock/Security Master</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626AF7">
            <w:pPr>
              <w:spacing w:after="0"/>
              <w:rPr>
                <w:sz w:val="20"/>
                <w:szCs w:val="20"/>
              </w:rPr>
            </w:pPr>
            <w:r>
              <w:rPr>
                <w:rFonts w:ascii="Calibri" w:hAnsi="Calibri"/>
                <w:sz w:val="20"/>
                <w:szCs w:val="20"/>
              </w:rPr>
              <w:t>ChartPatternSqliteService.GetSecurityMasterAsync / masterdetail</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F33C1B">
            <w:pPr>
              <w:spacing w:after="0"/>
              <w:rPr>
                <w:sz w:val="20"/>
                <w:szCs w:val="20"/>
              </w:rPr>
            </w:pPr>
            <w:r>
              <w:rPr>
                <w:rFonts w:ascii="Calibri" w:hAnsi="Calibri"/>
                <w:sz w:val="20"/>
                <w:szCs w:val="20"/>
              </w:rPr>
              <w:t>Resolve ticker, exchange, and token.</w:t>
            </w:r>
          </w:p>
        </w:tc>
      </w:tr>
      <w:tr w14:paraId="75F0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C8CCEE">
            <w:pPr>
              <w:spacing w:after="0"/>
              <w:rPr>
                <w:sz w:val="20"/>
                <w:szCs w:val="20"/>
              </w:rPr>
            </w:pPr>
            <w:r>
              <w:rPr>
                <w:rFonts w:ascii="Calibri" w:hAnsi="Calibri"/>
                <w:sz w:val="20"/>
                <w:szCs w:val="20"/>
              </w:rPr>
              <w:t>Time-stamped deal tape</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C866DF">
            <w:pPr>
              <w:spacing w:after="0"/>
              <w:rPr>
                <w:sz w:val="20"/>
                <w:szCs w:val="20"/>
              </w:rPr>
            </w:pPr>
            <w:r>
              <w:rPr>
                <w:rFonts w:ascii="Calibri" w:hAnsi="Calibri"/>
                <w:sz w:val="20"/>
                <w:szCs w:val="20"/>
              </w:rPr>
              <w:t>Exchange or approved deal/trade data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D2DFDE">
            <w:pPr>
              <w:spacing w:after="0"/>
              <w:rPr>
                <w:sz w:val="20"/>
                <w:szCs w:val="20"/>
              </w:rPr>
            </w:pPr>
            <w:r>
              <w:rPr>
                <w:rFonts w:ascii="Calibri" w:hAnsi="Calibri"/>
                <w:sz w:val="20"/>
                <w:szCs w:val="20"/>
              </w:rPr>
              <w:t>Obtain execution time, client, quantity, trade price, and deal date for Block Deal windows.</w:t>
            </w:r>
          </w:p>
        </w:tc>
      </w:tr>
      <w:tr w14:paraId="6EBB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2AA9B48">
            <w:pPr>
              <w:spacing w:after="0"/>
              <w:rPr>
                <w:sz w:val="20"/>
                <w:szCs w:val="20"/>
              </w:rPr>
            </w:pPr>
            <w:r>
              <w:rPr>
                <w:rFonts w:ascii="Calibri" w:hAnsi="Calibri"/>
                <w:sz w:val="20"/>
                <w:szCs w:val="20"/>
              </w:rPr>
              <w:t>Client daily deal quantities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10FDFB">
            <w:pPr>
              <w:spacing w:after="0"/>
              <w:rPr>
                <w:sz w:val="20"/>
                <w:szCs w:val="20"/>
              </w:rPr>
            </w:pPr>
            <w:r>
              <w:rPr>
                <w:rFonts w:ascii="Calibri" w:hAnsi="Calibri"/>
                <w:sz w:val="20"/>
                <w:szCs w:val="20"/>
              </w:rPr>
              <w:t>Exchange deal feed or approved aggregation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61A77EE">
            <w:pPr>
              <w:spacing w:after="0"/>
              <w:rPr>
                <w:sz w:val="20"/>
                <w:szCs w:val="20"/>
              </w:rPr>
            </w:pPr>
            <w:r>
              <w:rPr>
                <w:rFonts w:ascii="Calibri" w:hAnsi="Calibri"/>
                <w:sz w:val="20"/>
                <w:szCs w:val="20"/>
              </w:rPr>
              <w:t>Aggregate each client’s eligible quantity by security and date for Bulk %.</w:t>
            </w:r>
          </w:p>
        </w:tc>
      </w:tr>
      <w:tr w14:paraId="4C8F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07C4DE">
            <w:pPr>
              <w:spacing w:after="0"/>
              <w:rPr>
                <w:sz w:val="20"/>
                <w:szCs w:val="20"/>
              </w:rPr>
            </w:pPr>
            <w:r>
              <w:rPr>
                <w:rFonts w:ascii="Calibri" w:hAnsi="Calibri"/>
                <w:sz w:val="20"/>
                <w:szCs w:val="20"/>
              </w:rPr>
              <w:t>Previous daily Close</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AE69DA">
            <w:pPr>
              <w:spacing w:after="0"/>
              <w:rPr>
                <w:sz w:val="20"/>
                <w:szCs w:val="20"/>
              </w:rPr>
            </w:pPr>
            <w:r>
              <w:rPr>
                <w:rFonts w:ascii="Calibri" w:hAnsi="Calibri"/>
                <w:sz w:val="20"/>
                <w:szCs w:val="20"/>
              </w:rPr>
              <w:t>SQLite historical bar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0810D8">
            <w:pPr>
              <w:spacing w:after="0"/>
              <w:rPr>
                <w:sz w:val="20"/>
                <w:szCs w:val="20"/>
              </w:rPr>
            </w:pPr>
            <w:r>
              <w:rPr>
                <w:rFonts w:ascii="Calibri" w:hAnsi="Calibri"/>
                <w:sz w:val="20"/>
                <w:szCs w:val="20"/>
              </w:rPr>
              <w:t>Morning Block Deal reference price.</w:t>
            </w:r>
          </w:p>
        </w:tc>
      </w:tr>
      <w:tr w14:paraId="748D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69E686">
            <w:pPr>
              <w:spacing w:after="0"/>
              <w:rPr>
                <w:sz w:val="20"/>
                <w:szCs w:val="20"/>
              </w:rPr>
            </w:pPr>
            <w:r>
              <w:rPr>
                <w:rFonts w:ascii="Calibri" w:hAnsi="Calibri"/>
                <w:sz w:val="20"/>
                <w:szCs w:val="20"/>
              </w:rPr>
              <w:t>Afternoon VWAP inputs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B4B3EF">
            <w:pPr>
              <w:spacing w:after="0"/>
              <w:rPr>
                <w:sz w:val="20"/>
                <w:szCs w:val="20"/>
              </w:rPr>
            </w:pPr>
            <w:r>
              <w:rPr>
                <w:rFonts w:ascii="Calibri" w:hAnsi="Calibri"/>
                <w:sz w:val="20"/>
                <w:szCs w:val="20"/>
              </w:rPr>
              <w:t>Intraday trades/quote-volume source or official VWAP feed</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2E6D590">
            <w:pPr>
              <w:spacing w:after="0"/>
              <w:rPr>
                <w:sz w:val="20"/>
                <w:szCs w:val="20"/>
              </w:rPr>
            </w:pPr>
            <w:r>
              <w:rPr>
                <w:rFonts w:ascii="Calibri" w:hAnsi="Calibri"/>
                <w:sz w:val="20"/>
                <w:szCs w:val="20"/>
              </w:rPr>
              <w:t>Provide VWAP for the 1:45–2:00 PM window.</w:t>
            </w:r>
          </w:p>
        </w:tc>
      </w:tr>
      <w:tr w14:paraId="10FC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2EE68D">
            <w:pPr>
              <w:spacing w:after="0"/>
              <w:rPr>
                <w:sz w:val="20"/>
                <w:szCs w:val="20"/>
              </w:rPr>
            </w:pPr>
            <w:r>
              <w:rPr>
                <w:rFonts w:ascii="Calibri" w:hAnsi="Calibri"/>
                <w:sz w:val="20"/>
                <w:szCs w:val="20"/>
              </w:rPr>
              <w:t>Total listed shares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7D06E1">
            <w:pPr>
              <w:spacing w:after="0"/>
              <w:rPr>
                <w:sz w:val="20"/>
                <w:szCs w:val="20"/>
              </w:rPr>
            </w:pPr>
            <w:r>
              <w:rPr>
                <w:rFonts w:ascii="Calibri" w:hAnsi="Calibri"/>
                <w:sz w:val="20"/>
                <w:szCs w:val="20"/>
              </w:rPr>
              <w:t>Security master or dated share-capital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D50CE5">
            <w:pPr>
              <w:spacing w:after="0"/>
              <w:rPr>
                <w:sz w:val="20"/>
                <w:szCs w:val="20"/>
              </w:rPr>
            </w:pPr>
            <w:r>
              <w:rPr>
                <w:rFonts w:ascii="Calibri" w:hAnsi="Calibri"/>
                <w:sz w:val="20"/>
                <w:szCs w:val="20"/>
              </w:rPr>
              <w:t>Denominator for Bulk %.</w:t>
            </w:r>
          </w:p>
        </w:tc>
      </w:tr>
      <w:tr w14:paraId="3F0E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ADD15D">
            <w:pPr>
              <w:spacing w:after="0"/>
              <w:rPr>
                <w:sz w:val="20"/>
                <w:szCs w:val="20"/>
              </w:rPr>
            </w:pPr>
            <w:r>
              <w:rPr>
                <w:rFonts w:ascii="Calibri" w:hAnsi="Calibri"/>
                <w:sz w:val="20"/>
                <w:szCs w:val="20"/>
              </w:rPr>
              <w:t>Bars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D12651">
            <w:pPr>
              <w:spacing w:after="0"/>
              <w:rPr>
                <w:sz w:val="20"/>
                <w:szCs w:val="20"/>
              </w:rPr>
            </w:pPr>
            <w:r>
              <w:rPr>
                <w:rFonts w:ascii="Calibri" w:hAnsi="Calibri"/>
                <w:sz w:val="20"/>
                <w:szCs w:val="20"/>
              </w:rPr>
              <w:t>Bars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3AE1BC">
            <w:pPr>
              <w:spacing w:after="0"/>
              <w:rPr>
                <w:sz w:val="20"/>
                <w:szCs w:val="20"/>
              </w:rPr>
            </w:pPr>
            <w:r>
              <w:rPr>
                <w:rFonts w:ascii="Calibri" w:hAnsi="Calibri"/>
                <w:sz w:val="20"/>
                <w:szCs w:val="20"/>
              </w:rPr>
              <w:t>Select daily bar for previous close using existing schema conventions.</w:t>
            </w:r>
          </w:p>
        </w:tc>
      </w:tr>
      <w:tr w14:paraId="5D01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82F85F">
            <w:pPr>
              <w:spacing w:after="0"/>
              <w:rPr>
                <w:sz w:val="20"/>
                <w:szCs w:val="20"/>
              </w:rPr>
            </w:pPr>
            <w:r>
              <w:rPr>
                <w:rFonts w:ascii="Calibri" w:hAnsi="Calibri"/>
                <w:sz w:val="20"/>
                <w:szCs w:val="20"/>
              </w:rPr>
              <w:t>Dates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59C20E">
            <w:pPr>
              <w:spacing w:after="0"/>
              <w:rPr>
                <w:sz w:val="20"/>
                <w:szCs w:val="20"/>
              </w:rPr>
            </w:pPr>
            <w:r>
              <w:rPr>
                <w:rFonts w:ascii="Calibri" w:hAnsi="Calibri"/>
                <w:sz w:val="20"/>
                <w:szCs w:val="20"/>
              </w:rPr>
              <w:t>Dates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FFD0B5">
            <w:pPr>
              <w:spacing w:after="0"/>
              <w:rPr>
                <w:sz w:val="20"/>
                <w:szCs w:val="20"/>
              </w:rPr>
            </w:pPr>
            <w:r>
              <w:rPr>
                <w:rFonts w:ascii="Calibri" w:hAnsi="Calibri"/>
                <w:sz w:val="20"/>
                <w:szCs w:val="20"/>
              </w:rPr>
              <w:t>Resolve trading date and trading calendar.</w:t>
            </w:r>
          </w:p>
        </w:tc>
      </w:tr>
      <w:tr w14:paraId="4BD6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1A1E48">
            <w:pPr>
              <w:spacing w:after="0"/>
              <w:rPr>
                <w:sz w:val="20"/>
                <w:szCs w:val="20"/>
              </w:rPr>
            </w:pPr>
            <w:r>
              <w:rPr>
                <w:rFonts w:ascii="Calibri" w:hAnsi="Calibri"/>
                <w:sz w:val="20"/>
                <w:szCs w:val="20"/>
              </w:rPr>
              <w:t>Symbols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A07A87">
            <w:pPr>
              <w:spacing w:after="0"/>
              <w:rPr>
                <w:sz w:val="20"/>
                <w:szCs w:val="20"/>
              </w:rPr>
            </w:pPr>
            <w:r>
              <w:rPr>
                <w:rFonts w:ascii="Calibri" w:hAnsi="Calibri"/>
                <w:sz w:val="20"/>
                <w:szCs w:val="20"/>
              </w:rPr>
              <w:t>Symbols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E03635">
            <w:pPr>
              <w:spacing w:after="0"/>
              <w:rPr>
                <w:sz w:val="20"/>
                <w:szCs w:val="20"/>
              </w:rPr>
            </w:pPr>
            <w:r>
              <w:rPr>
                <w:rFonts w:ascii="Calibri" w:hAnsi="Calibri"/>
                <w:sz w:val="20"/>
                <w:szCs w:val="20"/>
              </w:rPr>
              <w:t>Map symbol identifiers to ticker and exchange.</w:t>
            </w:r>
          </w:p>
        </w:tc>
      </w:tr>
      <w:tr w14:paraId="03FC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Pr>
          <w:p w14:paraId="7B77E678">
            <w:pPr>
              <w:spacing w:after="0"/>
              <w:rPr>
                <w:sz w:val="20"/>
                <w:szCs w:val="20"/>
              </w:rPr>
            </w:pPr>
            <w:r>
              <w:rPr>
                <w:rFonts w:ascii="Calibri" w:hAnsi="Calibri"/>
                <w:sz w:val="20"/>
                <w:szCs w:val="20"/>
              </w:rPr>
              <w:t>Market timing configuration</w:t>
            </w:r>
          </w:p>
        </w:tc>
        <w:tc>
          <w:tcPr>
            <w:tcW w:w="3612" w:type="dxa"/>
          </w:tcPr>
          <w:p w14:paraId="0EE39173">
            <w:pPr>
              <w:spacing w:after="0"/>
              <w:rPr>
                <w:sz w:val="20"/>
                <w:szCs w:val="20"/>
              </w:rPr>
            </w:pPr>
            <w:r>
              <w:rPr>
                <w:rFonts w:ascii="Calibri" w:hAnsi="Calibri"/>
                <w:sz w:val="20"/>
                <w:szCs w:val="20"/>
              </w:rPr>
              <w:t>MarketTimingRepository / Market_State_Timings</w:t>
            </w:r>
          </w:p>
        </w:tc>
        <w:tc>
          <w:tcPr>
            <w:tcW w:w="3341" w:type="dxa"/>
          </w:tcPr>
          <w:p w14:paraId="3D23A937">
            <w:pPr>
              <w:spacing w:after="0"/>
              <w:rPr>
                <w:sz w:val="20"/>
                <w:szCs w:val="20"/>
              </w:rPr>
            </w:pPr>
            <w:r>
              <w:rPr>
                <w:rFonts w:ascii="Calibri" w:hAnsi="Calibri"/>
                <w:sz w:val="20"/>
                <w:szCs w:val="20"/>
              </w:rPr>
              <w:t>Exchange/segment status and configured StartTime/EndTime used by live market-session gating.</w:t>
            </w:r>
          </w:p>
        </w:tc>
      </w:tr>
    </w:tbl>
    <w:p w14:paraId="1D03634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Use established SQLite joins and filtering conventions in ChartPatternSqliteService.GetSecurityMasterAsync and the project’s masterdetail, historical bar, Bars, Dates, and Symbols structures. Deal tape and share-count sources must follow the application’s approved data integrations; do not assume they reside in the OHLC bar table.</w:t>
      </w:r>
    </w:p>
    <w:p w14:paraId="7891CA0F">
      <w:pPr>
        <w:pStyle w:val="4"/>
        <w:numPr>
          <w:numId w:val="0"/>
        </w:numPr>
        <w:rPr>
          <w:rFonts w:hint="default"/>
          <w:lang w:val="en-US"/>
        </w:rPr>
      </w:pPr>
      <w:r>
        <w:rPr>
          <w:rFonts w:hint="default"/>
          <w:lang w:val="en-US"/>
        </w:rPr>
        <w:t>Market Timing and Session Control</w:t>
      </w:r>
    </w:p>
    <w:p w14:paraId="6EDCDFE6">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sz w:val="22"/>
          <w:szCs w:val="22"/>
        </w:rPr>
        <w:t>Market timing is loaded from Market_State_Timings through MarketTimingRepository and the timing cache. The source exposes IMarketStatusService.GetMarketStatusAsync(exchange, segment), which returns configured OPEN/CLOSE status and StartTime/EndTime. The current implementation compares the host DateTime.Now time to configured ranges inclusively; it returns CLOSE when no range matches and errors if timing configuration/cache is unavailable. The market-status method requires a segment; resolve the configured segment internally because these routes accept exchange and optional groupName only.</w:t>
      </w:r>
    </w:p>
    <w:p w14:paraId="5EACB1A7">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2"/>
          <w:szCs w:val="22"/>
        </w:rPr>
      </w:pPr>
      <w:r>
        <w:rPr>
          <w:rFonts w:hint="default" w:ascii="Calibri" w:hAnsi="Calibri" w:cs="Calibri"/>
          <w:sz w:val="22"/>
          <w:szCs w:val="22"/>
        </w:rPr>
        <w:t>Use this service only for market-session gating. It does not replace the Block Deal rule windows (08:45–09:00 and 14:05–14:20), nor the 13:45–14:00 VWAP reference window. The source code does not define the exchange timezone or the configured timing rows; confirm that host local time matches the configured exchange times and verify the NSE/BSE segment rows in Market_State_Timings.</w:t>
      </w:r>
    </w:p>
    <w:p w14:paraId="1FE52FC0">
      <w:pPr>
        <w:pStyle w:val="4"/>
        <w:numPr>
          <w:numId w:val="0"/>
        </w:numPr>
        <w:rPr>
          <w:rFonts w:hint="default"/>
          <w:lang w:val="en-US"/>
        </w:rPr>
      </w:pPr>
      <w:r>
        <w:rPr>
          <w:rFonts w:hint="default"/>
          <w:lang w:val="en-US"/>
        </w:rPr>
        <w:t>5. Historical Data Requirement</w:t>
      </w:r>
    </w:p>
    <w:p w14:paraId="22A37DB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This is a daily screener with EOD and Live endpoint variants. EOD processes a completed trading date; Live evaluates current-session activity provisionally. Process the deal data for one trading date/session. No 15-, 30-, or 60-minute candles are required.</w:t>
      </w:r>
    </w:p>
    <w:p w14:paraId="510D73DC">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Block Deal evaluation requires: current-day time-stamped trades within the two supplied windows; previous trading day Close for the morning reference; and current-day 1:45–2:00 PM VWAP for the afternoon reference.</w:t>
      </w:r>
    </w:p>
    <w:p w14:paraId="262806DC">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Bulk Deal evaluation requires current-day eligible client quantities by security and current total listed shares. If no dated share count is available, the effective-date policy must be confirmed.</w:t>
      </w:r>
    </w:p>
    <w:p w14:paraId="1A79957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EOD schedule must allow the required deal reports, daily close, afternoon VWAP, and share-count data to be available. The exact run time is not specified.</w:t>
      </w:r>
    </w:p>
    <w:p w14:paraId="16B83956">
      <w:pPr>
        <w:pStyle w:val="4"/>
        <w:numPr>
          <w:numId w:val="0"/>
        </w:numPr>
        <w:rPr>
          <w:rFonts w:hint="default"/>
          <w:lang w:val="en-US"/>
        </w:rPr>
      </w:pPr>
      <w:r>
        <w:rPr>
          <w:rFonts w:hint="default"/>
          <w:lang w:val="en-US"/>
        </w:rPr>
        <w:t>6. Computation Logic</w:t>
      </w:r>
    </w:p>
    <w:p w14:paraId="29787D02">
      <w:pPr>
        <w:pStyle w:val="4"/>
        <w:numPr>
          <w:numId w:val="0"/>
        </w:numPr>
        <w:rPr>
          <w:rFonts w:hint="default"/>
          <w:lang w:val="en-US"/>
        </w:rPr>
      </w:pPr>
      <w:r>
        <w:rPr>
          <w:rFonts w:hint="default"/>
          <w:lang w:val="en-US"/>
        </w:rPr>
        <w:t>6.1 Resolve Security and Trading Date</w:t>
      </w:r>
    </w:p>
    <w:p w14:paraId="489C73D6">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Resolve exchange and optional ticker through the security master. Select the requested/latest completed trading date and use the exchange trading calendar. Preserve execution timestamps and client/security mappings.</w:t>
      </w:r>
    </w:p>
    <w:p w14:paraId="24442C6C">
      <w:pPr>
        <w:pStyle w:val="4"/>
        <w:numPr>
          <w:numId w:val="0"/>
        </w:numPr>
        <w:rPr>
          <w:rFonts w:hint="default"/>
          <w:lang w:val="en-US"/>
        </w:rPr>
      </w:pPr>
      <w:r>
        <w:rPr>
          <w:rFonts w:hint="default"/>
          <w:lang w:val="en-US"/>
        </w:rPr>
        <w:t>6.2 Block Deal Value and Time Window</w:t>
      </w:r>
    </w:p>
    <w:p w14:paraId="5B3DA626">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For each reported deal candidate, calculate:</w:t>
      </w:r>
    </w:p>
    <w:p w14:paraId="6104278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Deal Value = Quantity × Trade Price</w:t>
      </w:r>
    </w:p>
    <w:p w14:paraId="1991263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Qualify the value condition when Deal Value &gt;= INR 25 crore (INR 250,000,000).</w:t>
      </w:r>
    </w:p>
    <w:p w14:paraId="434B996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Test the deal execution time against the supplied windows: 8:45–9:00 AM or 2:05–2:20 PM. The rules do not specify whether window endpoints are inclusive; confirm that convention and use it consistently.</w:t>
      </w:r>
    </w:p>
    <w:p w14:paraId="2E1CCF16">
      <w:pPr>
        <w:pStyle w:val="4"/>
        <w:numPr>
          <w:numId w:val="0"/>
        </w:numPr>
        <w:rPr>
          <w:rFonts w:hint="default"/>
          <w:lang w:val="en-US"/>
        </w:rPr>
      </w:pPr>
      <w:r>
        <w:rPr>
          <w:rFonts w:hint="default"/>
          <w:lang w:val="en-US"/>
        </w:rPr>
        <w:t>6.3 Block Deal Reference Price</w:t>
      </w:r>
    </w:p>
    <w:p w14:paraId="11266FE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Select the reference by window:</w:t>
      </w:r>
    </w:p>
    <w:p w14:paraId="6C8D382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Morning window: Reference Price = previous trading day Close</w:t>
      </w:r>
    </w:p>
    <w:p w14:paraId="1934022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Afternoon window: Reference Price = VWAP from 1:45 PM through 2:00 PM today</w:t>
      </w:r>
    </w:p>
    <w:p w14:paraId="720A823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Validate price proximity using the supplied ±3% band:</w:t>
      </w:r>
    </w:p>
    <w:p w14:paraId="00ABC37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Reference Price × 0.97 &lt;= Trade Price &lt;= Reference Price × 1.03</w:t>
      </w:r>
    </w:p>
    <w:p w14:paraId="05882FA3">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displayed inequality interprets “within ±3%” inclusively. Confirm whether boundary values should be included. If the reference price is missing or zero, the deviation cannot be calculated and the deal must not be reported as qualified.</w:t>
      </w:r>
    </w:p>
    <w:p w14:paraId="16848EA1">
      <w:pPr>
        <w:pStyle w:val="4"/>
        <w:numPr>
          <w:numId w:val="0"/>
        </w:numPr>
        <w:rPr>
          <w:rFonts w:hint="default"/>
          <w:lang w:val="en-US"/>
        </w:rPr>
      </w:pPr>
      <w:r>
        <w:rPr>
          <w:rFonts w:hint="default"/>
          <w:lang w:val="en-US"/>
        </w:rPr>
        <w:t>6.4 Bulk Deal Quantity and Percentage</w:t>
      </w:r>
    </w:p>
    <w:p w14:paraId="6E935B4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Group eligible current-day deal quantities by security and client according to the confirmed aggregation policy. Calculate:</w:t>
      </w:r>
    </w:p>
    <w:p w14:paraId="513E116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Bulk % = Client total Quantity for the day / Total listed shares × 100</w:t>
      </w:r>
    </w:p>
    <w:p w14:paraId="5B3009C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Qualify when Bulk % &gt; 0.5%</w:t>
      </w:r>
    </w:p>
    <w:p w14:paraId="1A071D8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supplied rule does not define whether “total Quantity” is gross buy plus sell volume, separately sided quantities, or unique executed quantity after corrections/cancellations. Confirm this before implementation; do not deduplicate or net quantities using an invented rule.</w:t>
      </w:r>
    </w:p>
    <w:p w14:paraId="47FD3B4C">
      <w:pPr>
        <w:pStyle w:val="4"/>
        <w:numPr>
          <w:numId w:val="0"/>
        </w:numPr>
        <w:rPr>
          <w:rFonts w:hint="default"/>
          <w:lang w:val="en-US"/>
        </w:rPr>
      </w:pPr>
      <w:r>
        <w:rPr>
          <w:rFonts w:hint="default"/>
          <w:lang w:val="en-US"/>
        </w:rPr>
        <w:t>6.5 Generate Alerts</w:t>
      </w:r>
    </w:p>
    <w:p w14:paraId="6FB4E68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Emit a Block Deal alert when its stated value, time-window, and price-reference conditions are all met. Emit a Bulk Deal alert when the client-level percentage exceeds 0.5%. Evaluate the two alert types independently.</w:t>
      </w:r>
    </w:p>
    <w:p w14:paraId="0E883DD0">
      <w:pPr>
        <w:pStyle w:val="4"/>
        <w:numPr>
          <w:numId w:val="0"/>
        </w:numPr>
        <w:rPr>
          <w:rFonts w:hint="default"/>
          <w:lang w:val="en-US"/>
        </w:rPr>
      </w:pPr>
      <w:r>
        <w:rPr>
          <w:rFonts w:hint="default"/>
          <w:lang w:val="en-US"/>
        </w:rPr>
        <w:t>7. Block Deal Detection</w:t>
      </w:r>
    </w:p>
    <w:p w14:paraId="2BB5CA1B">
      <w:pPr>
        <w:pStyle w:val="4"/>
        <w:numPr>
          <w:numId w:val="0"/>
        </w:numPr>
        <w:rPr>
          <w:rFonts w:hint="default"/>
          <w:lang w:val="en-US"/>
        </w:rPr>
      </w:pPr>
      <w:r>
        <w:rPr>
          <w:rFonts w:hint="default"/>
          <w:lang w:val="en-US"/>
        </w:rPr>
        <w:t>Step 1</w:t>
      </w:r>
    </w:p>
    <w:p w14:paraId="6DBBC655">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Read current-day time-stamped deals and retain candidates in the supplied morning or afternoon time window.</w:t>
      </w:r>
    </w:p>
    <w:p w14:paraId="7D78A122">
      <w:pPr>
        <w:pStyle w:val="4"/>
        <w:numPr>
          <w:numId w:val="0"/>
        </w:numPr>
        <w:rPr>
          <w:rFonts w:hint="default"/>
          <w:lang w:val="en-US"/>
        </w:rPr>
      </w:pPr>
      <w:r>
        <w:rPr>
          <w:rFonts w:hint="default"/>
          <w:lang w:val="en-US"/>
        </w:rPr>
        <w:t>Step 2</w:t>
      </w:r>
    </w:p>
    <w:p w14:paraId="308743F7">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Calculate Quantity × Trade Price and require a value of at least INR 25 crore.</w:t>
      </w:r>
    </w:p>
    <w:p w14:paraId="71D581D6">
      <w:pPr>
        <w:pStyle w:val="4"/>
        <w:numPr>
          <w:numId w:val="0"/>
        </w:numPr>
        <w:rPr>
          <w:rFonts w:hint="default"/>
          <w:lang w:val="en-US"/>
        </w:rPr>
      </w:pPr>
      <w:r>
        <w:rPr>
          <w:rFonts w:hint="default"/>
          <w:lang w:val="en-US"/>
        </w:rPr>
        <w:t>Step 3</w:t>
      </w:r>
    </w:p>
    <w:p w14:paraId="02295F8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Select previous day Close for morning candidates or 1:45–2:00 PM VWAP for afternoon candidates.</w:t>
      </w:r>
    </w:p>
    <w:p w14:paraId="4A9730C7">
      <w:pPr>
        <w:pStyle w:val="4"/>
        <w:numPr>
          <w:numId w:val="0"/>
        </w:numPr>
        <w:rPr>
          <w:rFonts w:hint="default"/>
          <w:lang w:val="en-US"/>
        </w:rPr>
      </w:pPr>
      <w:r>
        <w:rPr>
          <w:rFonts w:hint="default"/>
          <w:lang w:val="en-US"/>
        </w:rPr>
        <w:t>Step 4</w:t>
      </w:r>
    </w:p>
    <w:p w14:paraId="79D898C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Require Trade Price to be within ±3% of the selected reference price.</w:t>
      </w:r>
    </w:p>
    <w:p w14:paraId="24F68F7D">
      <w:pPr>
        <w:pStyle w:val="4"/>
        <w:numPr>
          <w:numId w:val="0"/>
        </w:numPr>
        <w:rPr>
          <w:rFonts w:hint="default"/>
          <w:lang w:val="en-US"/>
        </w:rPr>
      </w:pPr>
      <w:r>
        <w:rPr>
          <w:rFonts w:hint="default"/>
          <w:lang w:val="en-US"/>
        </w:rPr>
        <w:t>Result</w:t>
      </w:r>
    </w:p>
    <w:p w14:paraId="0DA04025">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When all supplied conditions hold, return a Block Deal alert with the matching window and calculation details.</w:t>
      </w:r>
    </w:p>
    <w:p w14:paraId="2E03F660">
      <w:pPr>
        <w:pStyle w:val="4"/>
        <w:numPr>
          <w:numId w:val="0"/>
        </w:numPr>
        <w:rPr>
          <w:rFonts w:hint="default"/>
          <w:lang w:val="en-US"/>
        </w:rPr>
      </w:pPr>
      <w:r>
        <w:rPr>
          <w:rFonts w:hint="default"/>
          <w:lang w:val="en-US"/>
        </w:rPr>
        <w:t>8. Bulk Deal Detection</w:t>
      </w:r>
    </w:p>
    <w:p w14:paraId="1BB519B7">
      <w:pPr>
        <w:pStyle w:val="4"/>
        <w:numPr>
          <w:numId w:val="0"/>
        </w:numPr>
        <w:rPr>
          <w:rFonts w:hint="default"/>
          <w:lang w:val="en-US"/>
        </w:rPr>
      </w:pPr>
      <w:r>
        <w:rPr>
          <w:rFonts w:hint="default"/>
          <w:lang w:val="en-US"/>
        </w:rPr>
        <w:t>Step 1</w:t>
      </w:r>
    </w:p>
    <w:p w14:paraId="48E036F7">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Aggregate eligible daily deal quantity by client and security using the confirmed quantity aggregation policy.</w:t>
      </w:r>
    </w:p>
    <w:p w14:paraId="2847BED7">
      <w:pPr>
        <w:pStyle w:val="4"/>
        <w:numPr>
          <w:numId w:val="0"/>
        </w:numPr>
        <w:rPr>
          <w:rFonts w:hint="default"/>
          <w:lang w:val="en-US"/>
        </w:rPr>
      </w:pPr>
      <w:r>
        <w:rPr>
          <w:rFonts w:hint="default"/>
          <w:lang w:val="en-US"/>
        </w:rPr>
        <w:t>Step 2</w:t>
      </w:r>
    </w:p>
    <w:p w14:paraId="5DAC759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Resolve total listed shares for that security as of the applicable date.</w:t>
      </w:r>
    </w:p>
    <w:p w14:paraId="3BB06ACE">
      <w:pPr>
        <w:pStyle w:val="4"/>
        <w:numPr>
          <w:numId w:val="0"/>
        </w:numPr>
        <w:rPr>
          <w:rFonts w:hint="default"/>
          <w:lang w:val="en-US"/>
        </w:rPr>
      </w:pPr>
      <w:r>
        <w:rPr>
          <w:rFonts w:hint="default"/>
          <w:lang w:val="en-US"/>
        </w:rPr>
        <w:t>Step 3</w:t>
      </w:r>
    </w:p>
    <w:p w14:paraId="0293D0C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Calculate Bulk % = client total quantity / total listed shares × 100.</w:t>
      </w:r>
    </w:p>
    <w:p w14:paraId="41BB1DE5">
      <w:pPr>
        <w:pStyle w:val="4"/>
        <w:numPr>
          <w:numId w:val="0"/>
        </w:numPr>
        <w:rPr>
          <w:rFonts w:hint="default"/>
          <w:lang w:val="en-US"/>
        </w:rPr>
      </w:pPr>
      <w:r>
        <w:rPr>
          <w:rFonts w:hint="default"/>
          <w:lang w:val="en-US"/>
        </w:rPr>
        <w:t>Step 4</w:t>
      </w:r>
    </w:p>
    <w:p w14:paraId="2348A56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Require Bulk % &gt; 0.5%. A value equal to 0.5% does not qualify.</w:t>
      </w:r>
    </w:p>
    <w:p w14:paraId="69A53C32">
      <w:pPr>
        <w:pStyle w:val="4"/>
        <w:numPr>
          <w:numId w:val="0"/>
        </w:numPr>
        <w:rPr>
          <w:rFonts w:hint="default"/>
          <w:lang w:val="en-US"/>
        </w:rPr>
      </w:pPr>
      <w:r>
        <w:rPr>
          <w:rFonts w:hint="default"/>
          <w:lang w:val="en-US"/>
        </w:rPr>
        <w:t>Result</w:t>
      </w:r>
    </w:p>
    <w:p w14:paraId="2DBD409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When the strict threshold is exceeded, return a Bulk Deal alert with client quantity, listed shares, and calculated percentage.</w:t>
      </w:r>
    </w:p>
    <w:p w14:paraId="78C5980D">
      <w:pPr>
        <w:pStyle w:val="4"/>
        <w:numPr>
          <w:numId w:val="0"/>
        </w:numPr>
        <w:rPr>
          <w:rFonts w:hint="default"/>
          <w:lang w:val="en-US"/>
        </w:rPr>
      </w:pPr>
      <w:r>
        <w:rPr>
          <w:rFonts w:hint="default"/>
          <w:lang w:val="en-US"/>
        </w:rPr>
        <w:t>9. Complete Detection Logic</w:t>
      </w:r>
    </w:p>
    <w:p w14:paraId="0D219A34">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Block Deal:</w:t>
      </w:r>
    </w:p>
    <w:p w14:paraId="2F7B315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Deal Value = Quantity × Trade Price &gt;= INR 25 crore</w:t>
      </w:r>
    </w:p>
    <w:p w14:paraId="25E54BF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AND (Deal Time in 8:45–9:00 AM OR 2:05–2:20 PM)</w:t>
      </w:r>
    </w:p>
    <w:p w14:paraId="43C0EA3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AND Trade Price within ±3% of the applicable reference</w:t>
      </w:r>
    </w:p>
    <w:p w14:paraId="3A1FB55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Morning reference = previous trading day Close</w:t>
      </w:r>
    </w:p>
    <w:p w14:paraId="2B9BE4E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Afternoon reference = current day VWAP from 1:45–2:00 PM</w:t>
      </w:r>
    </w:p>
    <w:p w14:paraId="5DC79635">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Bulk Deal:</w:t>
      </w:r>
    </w:p>
    <w:p w14:paraId="30E09C0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Bulk % = Client total Quantity for the day / Total listed shares × 100</w:t>
      </w:r>
    </w:p>
    <w:p w14:paraId="5613902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AND Bulk % &gt; 0.5%</w:t>
      </w:r>
    </w:p>
    <w:p w14:paraId="51A1FA64">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Block Deal and Bulk Deal rules are separate. Do not require a security to satisfy both to return either alert.</w:t>
      </w:r>
    </w:p>
    <w:p w14:paraId="29C56809">
      <w:pPr>
        <w:pStyle w:val="4"/>
        <w:numPr>
          <w:numId w:val="0"/>
        </w:numPr>
        <w:rPr>
          <w:rFonts w:hint="default"/>
          <w:lang w:val="en-US"/>
        </w:rPr>
      </w:pPr>
      <w:r>
        <w:rPr>
          <w:rFonts w:hint="default"/>
          <w:lang w:val="en-US"/>
        </w:rPr>
        <w:t>10. Processing Flow</w:t>
      </w:r>
    </w:p>
    <w:p w14:paraId="2B8FAF2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EOD Request</w:t>
      </w:r>
    </w:p>
    <w:p w14:paraId="479858D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B46D4B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Exchange</w:t>
      </w:r>
    </w:p>
    <w:p w14:paraId="43814E4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Ticker (optional)</w:t>
      </w:r>
    </w:p>
    <w:p w14:paraId="2023B78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Trading date (if supported)</w:t>
      </w:r>
    </w:p>
    <w:p w14:paraId="7B0CCCB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73E8C7A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2AF6FBE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Resolve securities and trading date</w:t>
      </w:r>
    </w:p>
    <w:p w14:paraId="3276918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B4DCB1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86DBD1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Load time-stamped deal data and reference inputs</w:t>
      </w:r>
    </w:p>
    <w:p w14:paraId="0170E3A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C16C90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7773B4E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w:t>
      </w:r>
    </w:p>
    <w:p w14:paraId="7C72477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Block Deal candidates         Bulk Deal quantities</w:t>
      </w:r>
    </w:p>
    <w:p w14:paraId="42A7531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w:t>
      </w:r>
    </w:p>
    <w:p w14:paraId="01C6D37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Value + time + price band     Client quantity / listed shares</w:t>
      </w:r>
    </w:p>
    <w:p w14:paraId="14E5863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w:t>
      </w:r>
    </w:p>
    <w:p w14:paraId="38E20BF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FDC6AA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87181E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0B2185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Return qualifying alert records</w:t>
      </w:r>
    </w:p>
    <w:p w14:paraId="42CDC915">
      <w:pPr>
        <w:pStyle w:val="4"/>
        <w:numPr>
          <w:numId w:val="0"/>
        </w:numPr>
        <w:rPr>
          <w:rFonts w:hint="default"/>
          <w:lang w:val="en-US"/>
        </w:rPr>
      </w:pPr>
      <w:r>
        <w:rPr>
          <w:rFonts w:hint="default"/>
          <w:lang w:val="en-US"/>
        </w:rPr>
        <w:t>11. Edge Cases</w:t>
      </w:r>
    </w:p>
    <w:tbl>
      <w:tblPr>
        <w:tblStyle w:val="12"/>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70"/>
        <w:gridCol w:w="5959"/>
      </w:tblGrid>
      <w:tr w14:paraId="3F59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7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81A7F16">
            <w:pPr>
              <w:spacing w:after="0"/>
            </w:pPr>
            <w:r>
              <w:rPr>
                <w:rFonts w:ascii="Calibri" w:hAnsi="Calibri"/>
                <w:b/>
                <w:sz w:val="21"/>
              </w:rPr>
              <w:t>Scenario</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7512761">
            <w:pPr>
              <w:spacing w:after="0"/>
            </w:pPr>
            <w:r>
              <w:rPr>
                <w:rFonts w:ascii="Calibri" w:hAnsi="Calibri"/>
                <w:b/>
                <w:sz w:val="21"/>
              </w:rPr>
              <w:t>Expected Behavior</w:t>
            </w:r>
          </w:p>
        </w:tc>
      </w:tr>
      <w:tr w14:paraId="0FDD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2BD17C9">
            <w:pPr>
              <w:spacing w:after="0"/>
              <w:rPr>
                <w:sz w:val="20"/>
                <w:szCs w:val="20"/>
              </w:rPr>
            </w:pPr>
            <w:r>
              <w:rPr>
                <w:rFonts w:ascii="Calibri" w:hAnsi="Calibri"/>
                <w:sz w:val="20"/>
                <w:szCs w:val="20"/>
              </w:rPr>
              <w:t>No deal rows in either window</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25A5CF">
            <w:pPr>
              <w:spacing w:after="0"/>
              <w:rPr>
                <w:sz w:val="20"/>
                <w:szCs w:val="20"/>
              </w:rPr>
            </w:pPr>
            <w:r>
              <w:rPr>
                <w:rFonts w:ascii="Calibri" w:hAnsi="Calibri"/>
                <w:sz w:val="20"/>
                <w:szCs w:val="20"/>
              </w:rPr>
              <w:t>No Block Deal alert. Continue Bulk Deal evaluation if its data is present.</w:t>
            </w:r>
          </w:p>
        </w:tc>
      </w:tr>
      <w:tr w14:paraId="760A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2B7DEC">
            <w:pPr>
              <w:spacing w:after="0"/>
              <w:rPr>
                <w:sz w:val="20"/>
                <w:szCs w:val="20"/>
              </w:rPr>
            </w:pPr>
            <w:r>
              <w:rPr>
                <w:rFonts w:ascii="Calibri" w:hAnsi="Calibri"/>
                <w:sz w:val="20"/>
                <w:szCs w:val="20"/>
              </w:rPr>
              <w:t>Deal exactly INR 25 crore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AA3A45">
            <w:pPr>
              <w:spacing w:after="0"/>
              <w:rPr>
                <w:sz w:val="20"/>
                <w:szCs w:val="20"/>
              </w:rPr>
            </w:pPr>
            <w:r>
              <w:rPr>
                <w:rFonts w:ascii="Calibri" w:hAnsi="Calibri"/>
                <w:sz w:val="20"/>
                <w:szCs w:val="20"/>
              </w:rPr>
              <w:t>Qualifies the value threshold because the supplied comparison is &gt;=.</w:t>
            </w:r>
          </w:p>
        </w:tc>
      </w:tr>
      <w:tr w14:paraId="3E9A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1C0F6FF">
            <w:pPr>
              <w:spacing w:after="0"/>
              <w:rPr>
                <w:sz w:val="20"/>
                <w:szCs w:val="20"/>
              </w:rPr>
            </w:pPr>
            <w:r>
              <w:rPr>
                <w:rFonts w:ascii="Calibri" w:hAnsi="Calibri"/>
                <w:sz w:val="20"/>
                <w:szCs w:val="20"/>
              </w:rPr>
              <w:t>Bulk percentage exactly 0.5%</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39E129">
            <w:pPr>
              <w:spacing w:after="0"/>
              <w:rPr>
                <w:sz w:val="20"/>
                <w:szCs w:val="20"/>
              </w:rPr>
            </w:pPr>
            <w:r>
              <w:rPr>
                <w:rFonts w:ascii="Calibri" w:hAnsi="Calibri"/>
                <w:sz w:val="20"/>
                <w:szCs w:val="20"/>
              </w:rPr>
              <w:t>Does not qualify because the supplied comparison is &gt;.</w:t>
            </w:r>
          </w:p>
        </w:tc>
      </w:tr>
      <w:tr w14:paraId="0963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CD7656">
            <w:pPr>
              <w:spacing w:after="0"/>
              <w:rPr>
                <w:sz w:val="20"/>
                <w:szCs w:val="20"/>
              </w:rPr>
            </w:pPr>
            <w:r>
              <w:rPr>
                <w:rFonts w:ascii="Calibri" w:hAnsi="Calibri"/>
                <w:sz w:val="20"/>
                <w:szCs w:val="20"/>
              </w:rPr>
              <w:t>Deal at a time-window boundary</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19BD8E">
            <w:pPr>
              <w:spacing w:after="0"/>
              <w:rPr>
                <w:sz w:val="20"/>
                <w:szCs w:val="20"/>
              </w:rPr>
            </w:pPr>
            <w:r>
              <w:rPr>
                <w:rFonts w:ascii="Calibri" w:hAnsi="Calibri"/>
                <w:sz w:val="20"/>
                <w:szCs w:val="20"/>
              </w:rPr>
              <w:t>Apply the confirmed inclusive/exclusive endpoint policy.</w:t>
            </w:r>
          </w:p>
        </w:tc>
      </w:tr>
      <w:tr w14:paraId="7227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07C0C8">
            <w:pPr>
              <w:spacing w:after="0"/>
              <w:rPr>
                <w:sz w:val="20"/>
                <w:szCs w:val="20"/>
              </w:rPr>
            </w:pPr>
            <w:r>
              <w:rPr>
                <w:rFonts w:ascii="Calibri" w:hAnsi="Calibri"/>
                <w:sz w:val="20"/>
                <w:szCs w:val="20"/>
              </w:rPr>
              <w:t>Missing previous Close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0382DC">
            <w:pPr>
              <w:spacing w:after="0"/>
              <w:rPr>
                <w:sz w:val="20"/>
                <w:szCs w:val="20"/>
              </w:rPr>
            </w:pPr>
            <w:r>
              <w:rPr>
                <w:rFonts w:ascii="Calibri" w:hAnsi="Calibri"/>
                <w:sz w:val="20"/>
                <w:szCs w:val="20"/>
              </w:rPr>
              <w:t>Morning Block Deal price test unavailable; do not substitute another reference.</w:t>
            </w:r>
          </w:p>
        </w:tc>
      </w:tr>
      <w:tr w14:paraId="7927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172A5E">
            <w:pPr>
              <w:spacing w:after="0"/>
              <w:rPr>
                <w:sz w:val="20"/>
                <w:szCs w:val="20"/>
              </w:rPr>
            </w:pPr>
            <w:r>
              <w:rPr>
                <w:rFonts w:ascii="Calibri" w:hAnsi="Calibri"/>
                <w:sz w:val="20"/>
                <w:szCs w:val="20"/>
              </w:rPr>
              <w:t>Missing afternoon VWAP</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E0E17A8">
            <w:pPr>
              <w:spacing w:after="0"/>
              <w:rPr>
                <w:sz w:val="20"/>
                <w:szCs w:val="20"/>
              </w:rPr>
            </w:pPr>
            <w:r>
              <w:rPr>
                <w:rFonts w:ascii="Calibri" w:hAnsi="Calibri"/>
                <w:sz w:val="20"/>
                <w:szCs w:val="20"/>
              </w:rPr>
              <w:t>Afternoon Block Deal price test unavailable; do not substitute a different period.</w:t>
            </w:r>
          </w:p>
        </w:tc>
      </w:tr>
      <w:tr w14:paraId="6230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BA8A324">
            <w:pPr>
              <w:spacing w:after="0"/>
              <w:rPr>
                <w:sz w:val="20"/>
                <w:szCs w:val="20"/>
              </w:rPr>
            </w:pPr>
            <w:r>
              <w:rPr>
                <w:rFonts w:ascii="Calibri" w:hAnsi="Calibri"/>
                <w:sz w:val="20"/>
                <w:szCs w:val="20"/>
              </w:rPr>
              <w:t>Missing/zero listed shares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8C646B">
            <w:pPr>
              <w:spacing w:after="0"/>
              <w:rPr>
                <w:sz w:val="20"/>
                <w:szCs w:val="20"/>
              </w:rPr>
            </w:pPr>
            <w:r>
              <w:rPr>
                <w:rFonts w:ascii="Calibri" w:hAnsi="Calibri"/>
                <w:sz w:val="20"/>
                <w:szCs w:val="20"/>
              </w:rPr>
              <w:t>Bulk percentage is undefined; do not report a qualifying Bulk Deal.</w:t>
            </w:r>
          </w:p>
        </w:tc>
      </w:tr>
      <w:tr w14:paraId="6A9A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FC47C03">
            <w:pPr>
              <w:spacing w:after="0"/>
              <w:rPr>
                <w:sz w:val="20"/>
                <w:szCs w:val="20"/>
              </w:rPr>
            </w:pPr>
            <w:r>
              <w:rPr>
                <w:rFonts w:ascii="Calibri" w:hAnsi="Calibri"/>
                <w:sz w:val="20"/>
                <w:szCs w:val="20"/>
              </w:rPr>
              <w:t>Duplicate, corrected, or cancelled deal records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D7CB48">
            <w:pPr>
              <w:spacing w:after="0"/>
              <w:rPr>
                <w:sz w:val="20"/>
                <w:szCs w:val="20"/>
              </w:rPr>
            </w:pPr>
            <w:r>
              <w:rPr>
                <w:rFonts w:ascii="Calibri" w:hAnsi="Calibri"/>
                <w:sz w:val="20"/>
                <w:szCs w:val="20"/>
              </w:rPr>
              <w:t>Apply the approved source-feed correction policy; this policy is unspecified.</w:t>
            </w:r>
          </w:p>
        </w:tc>
      </w:tr>
      <w:tr w14:paraId="1129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0E3893">
            <w:pPr>
              <w:spacing w:after="0"/>
              <w:rPr>
                <w:sz w:val="20"/>
                <w:szCs w:val="20"/>
              </w:rPr>
            </w:pPr>
            <w:r>
              <w:rPr>
                <w:rFonts w:ascii="Calibri" w:hAnsi="Calibri"/>
                <w:sz w:val="20"/>
                <w:szCs w:val="20"/>
              </w:rPr>
              <w:t>Client quantity aggregation ambiguous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623933">
            <w:pPr>
              <w:spacing w:after="0"/>
              <w:rPr>
                <w:sz w:val="20"/>
                <w:szCs w:val="20"/>
              </w:rPr>
            </w:pPr>
            <w:r>
              <w:rPr>
                <w:rFonts w:ascii="Calibri" w:hAnsi="Calibri"/>
                <w:sz w:val="20"/>
                <w:szCs w:val="20"/>
              </w:rPr>
              <w:t>Do not silently net or combine sides; apply the confirmed policy.</w:t>
            </w:r>
          </w:p>
        </w:tc>
      </w:tr>
      <w:tr w14:paraId="626B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BF2194">
            <w:pPr>
              <w:spacing w:after="0"/>
              <w:rPr>
                <w:sz w:val="20"/>
                <w:szCs w:val="20"/>
              </w:rPr>
            </w:pPr>
            <w:r>
              <w:rPr>
                <w:rFonts w:ascii="Calibri" w:hAnsi="Calibri"/>
                <w:sz w:val="20"/>
                <w:szCs w:val="20"/>
              </w:rPr>
              <w:t>Late or incomplete EOD feed</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26DFF5">
            <w:pPr>
              <w:spacing w:after="0"/>
              <w:rPr>
                <w:sz w:val="20"/>
                <w:szCs w:val="20"/>
              </w:rPr>
            </w:pPr>
            <w:r>
              <w:rPr>
                <w:rFonts w:ascii="Calibri" w:hAnsi="Calibri"/>
                <w:sz w:val="20"/>
                <w:szCs w:val="20"/>
              </w:rPr>
              <w:t>Follow data availability conventions; do not return a final result from incomplete data.</w:t>
            </w:r>
          </w:p>
        </w:tc>
      </w:tr>
      <w:tr w14:paraId="69EC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98D3D07">
            <w:pPr>
              <w:spacing w:after="0"/>
              <w:rPr>
                <w:sz w:val="20"/>
                <w:szCs w:val="20"/>
              </w:rPr>
            </w:pPr>
            <w:r>
              <w:rPr>
                <w:rFonts w:ascii="Calibri" w:hAnsi="Calibri"/>
                <w:sz w:val="20"/>
                <w:szCs w:val="20"/>
              </w:rPr>
              <w:t>Invalid exchange/ticker</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AA372A">
            <w:pPr>
              <w:spacing w:after="0"/>
              <w:rPr>
                <w:sz w:val="20"/>
                <w:szCs w:val="20"/>
              </w:rPr>
            </w:pPr>
            <w:r>
              <w:rPr>
                <w:rFonts w:ascii="Calibri" w:hAnsi="Calibri"/>
                <w:sz w:val="20"/>
                <w:szCs w:val="20"/>
              </w:rPr>
              <w:t>Return established validation or not-found response.</w:t>
            </w:r>
          </w:p>
        </w:tc>
      </w:tr>
      <w:tr w14:paraId="7E6A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65A56A">
            <w:pPr>
              <w:spacing w:after="0"/>
              <w:rPr>
                <w:sz w:val="20"/>
                <w:szCs w:val="20"/>
              </w:rPr>
            </w:pPr>
            <w:r>
              <w:rPr>
                <w:rFonts w:ascii="Calibri" w:hAnsi="Calibri"/>
                <w:sz w:val="20"/>
                <w:szCs w:val="20"/>
              </w:rPr>
              <w:t>SQLite/source failure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70B432">
            <w:pPr>
              <w:spacing w:after="0"/>
              <w:rPr>
                <w:sz w:val="20"/>
                <w:szCs w:val="20"/>
              </w:rPr>
            </w:pPr>
            <w:r>
              <w:rPr>
                <w:rFonts w:ascii="Calibri" w:hAnsi="Calibri"/>
                <w:sz w:val="20"/>
                <w:szCs w:val="20"/>
              </w:rPr>
              <w:t>Log and return generic server error.</w:t>
            </w:r>
          </w:p>
        </w:tc>
      </w:tr>
    </w:tbl>
    <w:p w14:paraId="766CC3F4">
      <w:pPr>
        <w:pStyle w:val="4"/>
        <w:numPr>
          <w:numId w:val="0"/>
        </w:numPr>
        <w:rPr>
          <w:rFonts w:hint="default"/>
          <w:lang w:val="en-US"/>
        </w:rPr>
      </w:pPr>
      <w:r>
        <w:rPr>
          <w:rFonts w:hint="default"/>
          <w:lang w:val="en-US"/>
        </w:rPr>
        <w:t>12. Logging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5"/>
        <w:gridCol w:w="3431"/>
        <w:gridCol w:w="4153"/>
      </w:tblGrid>
      <w:tr w14:paraId="616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6D79F69">
            <w:pPr>
              <w:spacing w:after="0"/>
            </w:pPr>
            <w:r>
              <w:rPr>
                <w:rFonts w:ascii="Calibri" w:hAnsi="Calibri"/>
                <w:b/>
                <w:sz w:val="21"/>
              </w:rPr>
              <w:t>Level</w:t>
            </w:r>
          </w:p>
        </w:tc>
        <w:tc>
          <w:tcPr>
            <w:tcW w:w="34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CF9EDD2">
            <w:pPr>
              <w:spacing w:after="0"/>
            </w:pPr>
            <w:r>
              <w:rPr>
                <w:rFonts w:ascii="Calibri" w:hAnsi="Calibri"/>
                <w:b/>
                <w:sz w:val="21"/>
              </w:rPr>
              <w:t>Event</w:t>
            </w:r>
          </w:p>
        </w:tc>
        <w:tc>
          <w:tcPr>
            <w:tcW w:w="41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1D58E3F">
            <w:pPr>
              <w:spacing w:after="0"/>
            </w:pPr>
            <w:r>
              <w:rPr>
                <w:rFonts w:ascii="Calibri" w:hAnsi="Calibri"/>
                <w:b/>
                <w:sz w:val="21"/>
              </w:rPr>
              <w:t>Key Identifiers</w:t>
            </w:r>
          </w:p>
        </w:tc>
      </w:tr>
      <w:tr w14:paraId="4B56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94A0B9">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215997">
            <w:pPr>
              <w:spacing w:after="0"/>
              <w:rPr>
                <w:sz w:val="20"/>
                <w:szCs w:val="20"/>
              </w:rPr>
            </w:pPr>
            <w:r>
              <w:rPr>
                <w:rFonts w:ascii="Calibri" w:hAnsi="Calibri"/>
                <w:sz w:val="20"/>
                <w:szCs w:val="20"/>
              </w:rPr>
              <w:t>EOD screener started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511C63">
            <w:pPr>
              <w:spacing w:after="0"/>
              <w:rPr>
                <w:sz w:val="20"/>
                <w:szCs w:val="20"/>
              </w:rPr>
            </w:pPr>
            <w:r>
              <w:rPr>
                <w:rFonts w:ascii="Calibri" w:hAnsi="Calibri"/>
                <w:sz w:val="20"/>
                <w:szCs w:val="20"/>
              </w:rPr>
              <w:t>Exchange, ticker scope, trading date.</w:t>
            </w:r>
          </w:p>
        </w:tc>
      </w:tr>
      <w:tr w14:paraId="05FE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8EB1C0">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5BE433">
            <w:pPr>
              <w:spacing w:after="0"/>
              <w:rPr>
                <w:sz w:val="20"/>
                <w:szCs w:val="20"/>
              </w:rPr>
            </w:pPr>
            <w:r>
              <w:rPr>
                <w:rFonts w:ascii="Calibri" w:hAnsi="Calibri"/>
                <w:sz w:val="20"/>
                <w:szCs w:val="20"/>
              </w:rPr>
              <w:t>Deal/reference data loaded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9C7989D">
            <w:pPr>
              <w:spacing w:after="0"/>
              <w:rPr>
                <w:sz w:val="20"/>
                <w:szCs w:val="20"/>
              </w:rPr>
            </w:pPr>
            <w:r>
              <w:rPr>
                <w:rFonts w:ascii="Calibri" w:hAnsi="Calibri"/>
                <w:sz w:val="20"/>
                <w:szCs w:val="20"/>
              </w:rPr>
              <w:t>Source, date, record count, coverage.</w:t>
            </w:r>
          </w:p>
        </w:tc>
      </w:tr>
      <w:tr w14:paraId="7F97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BBA468">
            <w:pPr>
              <w:spacing w:after="0"/>
              <w:rPr>
                <w:sz w:val="20"/>
                <w:szCs w:val="20"/>
              </w:rPr>
            </w:pPr>
            <w:r>
              <w:rPr>
                <w:rFonts w:ascii="Calibri" w:hAnsi="Calibri"/>
                <w:sz w:val="20"/>
                <w:szCs w:val="20"/>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67A004">
            <w:pPr>
              <w:spacing w:after="0"/>
              <w:rPr>
                <w:sz w:val="20"/>
                <w:szCs w:val="20"/>
              </w:rPr>
            </w:pPr>
            <w:r>
              <w:rPr>
                <w:rFonts w:ascii="Calibri" w:hAnsi="Calibri"/>
                <w:sz w:val="20"/>
                <w:szCs w:val="20"/>
              </w:rPr>
              <w:t>Block Deal candidate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9AB250">
            <w:pPr>
              <w:spacing w:after="0"/>
              <w:rPr>
                <w:sz w:val="20"/>
                <w:szCs w:val="20"/>
              </w:rPr>
            </w:pPr>
            <w:r>
              <w:rPr>
                <w:rFonts w:ascii="Calibri" w:hAnsi="Calibri"/>
                <w:sz w:val="20"/>
                <w:szCs w:val="20"/>
              </w:rPr>
              <w:t>Client/deal ID, time, quantity, price, reference, condition results.</w:t>
            </w:r>
          </w:p>
        </w:tc>
      </w:tr>
      <w:tr w14:paraId="6177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DBF019">
            <w:pPr>
              <w:spacing w:after="0"/>
              <w:rPr>
                <w:sz w:val="20"/>
                <w:szCs w:val="20"/>
              </w:rPr>
            </w:pPr>
            <w:r>
              <w:rPr>
                <w:rFonts w:ascii="Calibri" w:hAnsi="Calibri"/>
                <w:sz w:val="20"/>
                <w:szCs w:val="20"/>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DB5F95">
            <w:pPr>
              <w:spacing w:after="0"/>
              <w:rPr>
                <w:sz w:val="20"/>
                <w:szCs w:val="20"/>
              </w:rPr>
            </w:pPr>
            <w:r>
              <w:rPr>
                <w:rFonts w:ascii="Calibri" w:hAnsi="Calibri"/>
                <w:sz w:val="20"/>
                <w:szCs w:val="20"/>
              </w:rPr>
              <w:t>Bulk Deal aggregate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194F2A">
            <w:pPr>
              <w:spacing w:after="0"/>
              <w:rPr>
                <w:sz w:val="20"/>
                <w:szCs w:val="20"/>
              </w:rPr>
            </w:pPr>
            <w:r>
              <w:rPr>
                <w:rFonts w:ascii="Calibri" w:hAnsi="Calibri"/>
                <w:sz w:val="20"/>
                <w:szCs w:val="20"/>
              </w:rPr>
              <w:t>Client/security, daily quantity, listed shares, percentage.</w:t>
            </w:r>
          </w:p>
        </w:tc>
      </w:tr>
      <w:tr w14:paraId="1373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64DDD1">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89839B">
            <w:pPr>
              <w:spacing w:after="0"/>
              <w:rPr>
                <w:sz w:val="20"/>
                <w:szCs w:val="20"/>
              </w:rPr>
            </w:pPr>
            <w:r>
              <w:rPr>
                <w:rFonts w:ascii="Calibri" w:hAnsi="Calibri"/>
                <w:sz w:val="20"/>
                <w:szCs w:val="20"/>
              </w:rPr>
              <w:t>Block Deal alert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137A54">
            <w:pPr>
              <w:spacing w:after="0"/>
              <w:rPr>
                <w:sz w:val="20"/>
                <w:szCs w:val="20"/>
              </w:rPr>
            </w:pPr>
            <w:r>
              <w:rPr>
                <w:rFonts w:ascii="Calibri" w:hAnsi="Calibri"/>
                <w:sz w:val="20"/>
                <w:szCs w:val="20"/>
              </w:rPr>
              <w:t>Security, deal date/time, window, value.</w:t>
            </w:r>
          </w:p>
        </w:tc>
      </w:tr>
      <w:tr w14:paraId="40A9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EA62AB">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0D3E9C">
            <w:pPr>
              <w:spacing w:after="0"/>
              <w:rPr>
                <w:sz w:val="20"/>
                <w:szCs w:val="20"/>
              </w:rPr>
            </w:pPr>
            <w:r>
              <w:rPr>
                <w:rFonts w:ascii="Calibri" w:hAnsi="Calibri"/>
                <w:sz w:val="20"/>
                <w:szCs w:val="20"/>
              </w:rPr>
              <w:t>Bulk Deal alert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C0C004">
            <w:pPr>
              <w:spacing w:after="0"/>
              <w:rPr>
                <w:sz w:val="20"/>
                <w:szCs w:val="20"/>
              </w:rPr>
            </w:pPr>
            <w:r>
              <w:rPr>
                <w:rFonts w:ascii="Calibri" w:hAnsi="Calibri"/>
                <w:sz w:val="20"/>
                <w:szCs w:val="20"/>
              </w:rPr>
              <w:t>Security, client key, date, percentage.</w:t>
            </w:r>
          </w:p>
        </w:tc>
      </w:tr>
      <w:tr w14:paraId="4AB4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B7D9D9">
            <w:pPr>
              <w:spacing w:after="0"/>
              <w:rPr>
                <w:sz w:val="20"/>
                <w:szCs w:val="20"/>
              </w:rPr>
            </w:pPr>
            <w:r>
              <w:rPr>
                <w:rFonts w:ascii="Calibri" w:hAnsi="Calibri"/>
                <w:sz w:val="20"/>
                <w:szCs w:val="20"/>
              </w:rPr>
              <w:t>Warning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19B898">
            <w:pPr>
              <w:spacing w:after="0"/>
              <w:rPr>
                <w:sz w:val="20"/>
                <w:szCs w:val="20"/>
              </w:rPr>
            </w:pPr>
            <w:r>
              <w:rPr>
                <w:rFonts w:ascii="Calibri" w:hAnsi="Calibri"/>
                <w:sz w:val="20"/>
                <w:szCs w:val="20"/>
              </w:rPr>
              <w:t>Required source data unavailable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0AB860">
            <w:pPr>
              <w:spacing w:after="0"/>
              <w:rPr>
                <w:sz w:val="20"/>
                <w:szCs w:val="20"/>
              </w:rPr>
            </w:pPr>
            <w:r>
              <w:rPr>
                <w:rFonts w:ascii="Calibri" w:hAnsi="Calibri"/>
                <w:sz w:val="20"/>
                <w:szCs w:val="20"/>
              </w:rPr>
              <w:t>Exchange, security, date, missing source.</w:t>
            </w:r>
          </w:p>
        </w:tc>
      </w:tr>
      <w:tr w14:paraId="7EEA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7D2406">
            <w:pPr>
              <w:spacing w:after="0"/>
              <w:rPr>
                <w:sz w:val="20"/>
                <w:szCs w:val="20"/>
              </w:rPr>
            </w:pPr>
            <w:r>
              <w:rPr>
                <w:rFonts w:ascii="Calibri" w:hAnsi="Calibri"/>
                <w:sz w:val="20"/>
                <w:szCs w:val="20"/>
              </w:rPr>
              <w:t>Error</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FA5C85">
            <w:pPr>
              <w:spacing w:after="0"/>
              <w:rPr>
                <w:sz w:val="20"/>
                <w:szCs w:val="20"/>
              </w:rPr>
            </w:pPr>
            <w:r>
              <w:rPr>
                <w:rFonts w:ascii="Calibri" w:hAnsi="Calibri"/>
                <w:sz w:val="20"/>
                <w:szCs w:val="20"/>
              </w:rPr>
              <w:t>SQLite/deal-feed failure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5640B1">
            <w:pPr>
              <w:spacing w:after="0"/>
              <w:rPr>
                <w:sz w:val="20"/>
                <w:szCs w:val="20"/>
              </w:rPr>
            </w:pPr>
            <w:r>
              <w:rPr>
                <w:rFonts w:ascii="Calibri" w:hAnsi="Calibri"/>
                <w:sz w:val="20"/>
                <w:szCs w:val="20"/>
              </w:rPr>
              <w:t>Source, exchange, date, exception details.</w:t>
            </w:r>
          </w:p>
        </w:tc>
      </w:tr>
    </w:tbl>
    <w:p w14:paraId="44915DE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Avoid logging sensitive client-identifying information at information level. Follow applicable data-access and retention conventions; use restricted identifiers in diagnostic logs where required.</w:t>
      </w:r>
    </w:p>
    <w:p w14:paraId="4843E954">
      <w:pPr>
        <w:pStyle w:val="4"/>
        <w:numPr>
          <w:numId w:val="0"/>
        </w:numPr>
        <w:rPr>
          <w:rFonts w:hint="default"/>
          <w:lang w:val="en-US"/>
        </w:rPr>
      </w:pPr>
      <w:r>
        <w:rPr>
          <w:rFonts w:hint="default"/>
          <w:lang w:val="en-US"/>
        </w:rPr>
        <w:t>13. 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28"/>
        <w:gridCol w:w="1264"/>
        <w:gridCol w:w="5237"/>
      </w:tblGrid>
      <w:tr w14:paraId="33BB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2362AEB">
            <w:pPr>
              <w:spacing w:after="0"/>
            </w:pPr>
            <w:r>
              <w:rPr>
                <w:rFonts w:ascii="Calibri" w:hAnsi="Calibri"/>
                <w:b/>
                <w:sz w:val="21"/>
              </w:rPr>
              <w:t>Scenario</w:t>
            </w:r>
          </w:p>
        </w:tc>
        <w:tc>
          <w:tcPr>
            <w:tcW w:w="126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E484CBD">
            <w:pPr>
              <w:spacing w:after="0"/>
            </w:pPr>
            <w:r>
              <w:rPr>
                <w:rFonts w:ascii="Calibri" w:hAnsi="Calibri"/>
                <w:b/>
                <w:sz w:val="21"/>
              </w:rPr>
              <w:t>HTTP Status</w:t>
            </w:r>
          </w:p>
        </w:tc>
        <w:tc>
          <w:tcPr>
            <w:tcW w:w="523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1E23EF7">
            <w:pPr>
              <w:spacing w:after="0"/>
            </w:pPr>
            <w:r>
              <w:rPr>
                <w:rFonts w:ascii="Calibri" w:hAnsi="Calibri"/>
                <w:b/>
                <w:sz w:val="21"/>
              </w:rPr>
              <w:t>Handling</w:t>
            </w:r>
          </w:p>
        </w:tc>
      </w:tr>
      <w:tr w14:paraId="4E893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3B68A4">
            <w:pPr>
              <w:spacing w:after="0"/>
              <w:rPr>
                <w:sz w:val="20"/>
                <w:szCs w:val="20"/>
              </w:rPr>
            </w:pPr>
            <w:r>
              <w:rPr>
                <w:rFonts w:ascii="Calibri" w:hAnsi="Calibri"/>
                <w:sz w:val="20"/>
                <w:szCs w:val="20"/>
              </w:rPr>
              <w:t>Invalid exchange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C50A07">
            <w:pPr>
              <w:spacing w:after="0"/>
              <w:rPr>
                <w:sz w:val="20"/>
                <w:szCs w:val="20"/>
              </w:rPr>
            </w:pPr>
            <w:r>
              <w:rPr>
                <w:rFonts w:ascii="Calibri" w:hAnsi="Calibri"/>
                <w:sz w:val="20"/>
                <w:szCs w:val="20"/>
              </w:rPr>
              <w:t>400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29DB1B">
            <w:pPr>
              <w:spacing w:after="0"/>
              <w:rPr>
                <w:sz w:val="20"/>
                <w:szCs w:val="20"/>
              </w:rPr>
            </w:pPr>
            <w:r>
              <w:rPr>
                <w:rFonts w:ascii="Calibri" w:hAnsi="Calibri"/>
                <w:sz w:val="20"/>
                <w:szCs w:val="20"/>
              </w:rPr>
              <w:t>Return validation error using established schema.</w:t>
            </w:r>
          </w:p>
        </w:tc>
      </w:tr>
      <w:tr w14:paraId="65E2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6AE032">
            <w:pPr>
              <w:spacing w:after="0"/>
              <w:rPr>
                <w:sz w:val="20"/>
                <w:szCs w:val="20"/>
              </w:rPr>
            </w:pPr>
            <w:r>
              <w:rPr>
                <w:rFonts w:ascii="Calibri" w:hAnsi="Calibri"/>
                <w:sz w:val="20"/>
                <w:szCs w:val="20"/>
              </w:rPr>
              <w:t>Ticker not found</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04A6E4">
            <w:pPr>
              <w:spacing w:after="0"/>
              <w:rPr>
                <w:sz w:val="20"/>
                <w:szCs w:val="20"/>
              </w:rPr>
            </w:pPr>
            <w:r>
              <w:rPr>
                <w:rFonts w:ascii="Calibri" w:hAnsi="Calibri"/>
                <w:sz w:val="20"/>
                <w:szCs w:val="20"/>
              </w:rPr>
              <w:t>404</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F416DD">
            <w:pPr>
              <w:spacing w:after="0"/>
              <w:rPr>
                <w:sz w:val="20"/>
                <w:szCs w:val="20"/>
              </w:rPr>
            </w:pPr>
            <w:r>
              <w:rPr>
                <w:rFonts w:ascii="Calibri" w:hAnsi="Calibri"/>
                <w:sz w:val="20"/>
                <w:szCs w:val="20"/>
              </w:rPr>
              <w:t>Return ticker-not-found response using existing conventions.</w:t>
            </w:r>
          </w:p>
        </w:tc>
      </w:tr>
      <w:tr w14:paraId="3AEA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A4AC49">
            <w:pPr>
              <w:spacing w:after="0"/>
              <w:rPr>
                <w:sz w:val="20"/>
                <w:szCs w:val="20"/>
              </w:rPr>
            </w:pPr>
            <w:r>
              <w:rPr>
                <w:rFonts w:ascii="Calibri" w:hAnsi="Calibri"/>
                <w:sz w:val="20"/>
                <w:szCs w:val="20"/>
              </w:rPr>
              <w:t>Deal/reference/share-count data 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17A2001">
            <w:pPr>
              <w:spacing w:after="0"/>
              <w:rPr>
                <w:sz w:val="20"/>
                <w:szCs w:val="20"/>
              </w:rPr>
            </w:pPr>
            <w:r>
              <w:rPr>
                <w:rFonts w:ascii="Calibri" w:hAnsi="Calibri"/>
                <w:sz w:val="20"/>
                <w:szCs w:val="20"/>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61DB1B">
            <w:pPr>
              <w:spacing w:after="0"/>
              <w:rPr>
                <w:sz w:val="20"/>
                <w:szCs w:val="20"/>
              </w:rPr>
            </w:pPr>
            <w:r>
              <w:rPr>
                <w:rFonts w:ascii="Calibri" w:hAnsi="Calibri"/>
                <w:sz w:val="20"/>
                <w:szCs w:val="20"/>
              </w:rPr>
              <w:t>Return an explicit unavailable-data status or established screener status; do not treat missing inputs as no qualifying deals.</w:t>
            </w:r>
          </w:p>
        </w:tc>
      </w:tr>
      <w:tr w14:paraId="1558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502454">
            <w:pPr>
              <w:spacing w:after="0"/>
              <w:rPr>
                <w:sz w:val="20"/>
                <w:szCs w:val="20"/>
              </w:rPr>
            </w:pPr>
            <w:r>
              <w:rPr>
                <w:rFonts w:ascii="Calibri" w:hAnsi="Calibri"/>
                <w:sz w:val="20"/>
                <w:szCs w:val="20"/>
              </w:rPr>
              <w:t>No qualifying deals</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0F5CE5">
            <w:pPr>
              <w:spacing w:after="0"/>
              <w:rPr>
                <w:sz w:val="20"/>
                <w:szCs w:val="20"/>
              </w:rPr>
            </w:pPr>
            <w:r>
              <w:rPr>
                <w:rFonts w:ascii="Calibri" w:hAnsi="Calibri"/>
                <w:sz w:val="20"/>
                <w:szCs w:val="20"/>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2B78E7">
            <w:pPr>
              <w:spacing w:after="0"/>
              <w:rPr>
                <w:sz w:val="20"/>
                <w:szCs w:val="20"/>
              </w:rPr>
            </w:pPr>
            <w:r>
              <w:rPr>
                <w:rFonts w:ascii="Calibri" w:hAnsi="Calibri"/>
                <w:sz w:val="20"/>
                <w:szCs w:val="20"/>
              </w:rPr>
              <w:t>Return an empty result or isAlertDetected=false using existing API conventions.</w:t>
            </w:r>
          </w:p>
        </w:tc>
      </w:tr>
      <w:tr w14:paraId="2503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A7BD91">
            <w:pPr>
              <w:spacing w:after="0"/>
              <w:rPr>
                <w:sz w:val="20"/>
                <w:szCs w:val="20"/>
              </w:rPr>
            </w:pPr>
            <w:r>
              <w:rPr>
                <w:rFonts w:ascii="Calibri" w:hAnsi="Calibri"/>
                <w:sz w:val="20"/>
                <w:szCs w:val="20"/>
              </w:rPr>
              <w:t>SQLite/database failure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4AABE9">
            <w:pPr>
              <w:spacing w:after="0"/>
              <w:rPr>
                <w:sz w:val="20"/>
                <w:szCs w:val="20"/>
              </w:rPr>
            </w:pPr>
            <w:r>
              <w:rPr>
                <w:rFonts w:ascii="Calibri" w:hAnsi="Calibri"/>
                <w:sz w:val="20"/>
                <w:szCs w:val="20"/>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9EFC14">
            <w:pPr>
              <w:spacing w:after="0"/>
              <w:rPr>
                <w:sz w:val="20"/>
                <w:szCs w:val="20"/>
              </w:rPr>
            </w:pPr>
            <w:r>
              <w:rPr>
                <w:rFonts w:ascii="Calibri" w:hAnsi="Calibri"/>
                <w:sz w:val="20"/>
                <w:szCs w:val="20"/>
              </w:rPr>
              <w:t>Log exception and return generic error without internal details.</w:t>
            </w:r>
          </w:p>
        </w:tc>
      </w:tr>
      <w:tr w14:paraId="36C4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70F451">
            <w:pPr>
              <w:spacing w:after="0"/>
              <w:rPr>
                <w:sz w:val="20"/>
                <w:szCs w:val="20"/>
              </w:rPr>
            </w:pPr>
            <w:r>
              <w:rPr>
                <w:rFonts w:ascii="Calibri" w:hAnsi="Calibri"/>
                <w:sz w:val="20"/>
                <w:szCs w:val="20"/>
              </w:rPr>
              <w:t>Unexpected exception</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8E838DB">
            <w:pPr>
              <w:spacing w:after="0"/>
              <w:rPr>
                <w:sz w:val="20"/>
                <w:szCs w:val="20"/>
              </w:rPr>
            </w:pPr>
            <w:r>
              <w:rPr>
                <w:rFonts w:ascii="Calibri" w:hAnsi="Calibri"/>
                <w:sz w:val="20"/>
                <w:szCs w:val="20"/>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75688F">
            <w:pPr>
              <w:spacing w:after="0"/>
              <w:rPr>
                <w:sz w:val="20"/>
                <w:szCs w:val="20"/>
              </w:rPr>
            </w:pPr>
            <w:r>
              <w:rPr>
                <w:rFonts w:ascii="Calibri" w:hAnsi="Calibri"/>
                <w:sz w:val="20"/>
                <w:szCs w:val="20"/>
              </w:rPr>
              <w:t>Log exception and return generic error.</w:t>
            </w:r>
          </w:p>
        </w:tc>
      </w:tr>
    </w:tbl>
    <w:p w14:paraId="04F448E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Use the same error-response structure as existing MarketAlert APIs.</w:t>
      </w:r>
    </w:p>
    <w:p w14:paraId="28612222">
      <w:pPr>
        <w:pStyle w:val="4"/>
        <w:numPr>
          <w:numId w:val="0"/>
        </w:numPr>
        <w:rPr>
          <w:rFonts w:hint="default"/>
          <w:lang w:val="en-US"/>
        </w:rPr>
      </w:pPr>
      <w:r>
        <w:rPr>
          <w:rFonts w:hint="default"/>
          <w:lang w:val="en-US"/>
        </w:rPr>
        <w:t>14. Configuration Data</w:t>
      </w:r>
    </w:p>
    <w:p w14:paraId="780DCC6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BlockBulkDeal:</w:t>
      </w:r>
    </w:p>
    <w:p w14:paraId="3F5E98F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EvaluationModes = Daily EOD, Live current session</w:t>
      </w:r>
    </w:p>
    <w:p w14:paraId="5410CB0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BlockDealMinimumValueINR = 250000000</w:t>
      </w:r>
    </w:p>
    <w:p w14:paraId="6CCE774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MorningWindow = 08:45–09:00</w:t>
      </w:r>
    </w:p>
    <w:p w14:paraId="0CFFF29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AfternoonWindow = 14:05–14:20</w:t>
      </w:r>
    </w:p>
    <w:p w14:paraId="6374E9E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MorningReference = PreviousTradingDayClose</w:t>
      </w:r>
    </w:p>
    <w:p w14:paraId="11B7281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AfternoonReferenceWindow = 13:45–14:00</w:t>
      </w:r>
    </w:p>
    <w:p w14:paraId="10019AE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BlockDealPriceBandPercent = 3</w:t>
      </w:r>
    </w:p>
    <w:p w14:paraId="3110E2A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BulkDealThresholdPercent = 0.5</w:t>
      </w:r>
      <w:bookmarkStart w:id="0" w:name="_GoBack"/>
      <w:bookmarkEnd w:id="0"/>
    </w:p>
    <w:p w14:paraId="0EEF160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BulkDealComparison = StrictlyGreaterThan</w:t>
      </w:r>
      <w:r>
        <w:rPr>
          <w:rFonts w:hint="default" w:ascii="Consolas" w:hAnsi="Consolas" w:eastAsia="Consolas" w:cs="Consolas"/>
          <w:sz w:val="17"/>
          <w:szCs w:val="17"/>
        </w:rPr>
        <w:br w:type="textWrapping"/>
      </w:r>
      <w:r>
        <w:rPr>
          <w:rFonts w:hint="default" w:ascii="Consolas" w:hAnsi="Consolas" w:eastAsia="Consolas" w:cs="Consolas"/>
          <w:sz w:val="17"/>
          <w:szCs w:val="17"/>
        </w:rPr>
        <w:t xml:space="preserve">    LiveResultStatus = Provisional</w:t>
      </w:r>
      <w:r>
        <w:rPr>
          <w:rFonts w:hint="default" w:ascii="Consolas" w:hAnsi="Consolas" w:eastAsia="Consolas" w:cs="Consolas"/>
          <w:sz w:val="17"/>
          <w:szCs w:val="17"/>
        </w:rPr>
        <w:br w:type="textWrapping"/>
      </w:r>
      <w:r>
        <w:rPr>
          <w:rFonts w:hint="default" w:ascii="Consolas" w:hAnsi="Consolas" w:eastAsia="Consolas" w:cs="Consolas"/>
          <w:sz w:val="17"/>
          <w:szCs w:val="17"/>
        </w:rPr>
        <w:t xml:space="preserve">    LiveMarketGate = Configured Market_State_Timings</w:t>
      </w:r>
    </w:p>
    <w:p w14:paraId="78EF992E">
      <w:pPr>
        <w:pStyle w:val="4"/>
        <w:numPr>
          <w:numId w:val="0"/>
        </w:numPr>
        <w:rPr>
          <w:rFonts w:hint="default"/>
          <w:lang w:val="en-US"/>
        </w:rPr>
      </w:pPr>
      <w:r>
        <w:rPr>
          <w:rFonts w:hint="default"/>
          <w:lang w:val="en-US"/>
        </w:rPr>
        <w:t>15. Decisions to Confirm</w:t>
      </w:r>
    </w:p>
    <w:p w14:paraId="095C6BF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whether time-window endpoints are inclusive, and the exchange timezone to use for each window.</w:t>
      </w:r>
    </w:p>
    <w:p w14:paraId="59EE428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whether a Block Deal threshold and price band apply to each deal row individually or to an aggregate of related executions.</w:t>
      </w:r>
    </w:p>
    <w:p w14:paraId="54EE58A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Bulk Deal quantity aggregation: buy and sell combined or separate, treatment of duplicate rows, and treatment of corrected/cancelled executions.</w:t>
      </w:r>
    </w:p>
    <w:p w14:paraId="3E06EB6C">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the authoritative total-listed-shares source and its effective-date policy.</w:t>
      </w:r>
    </w:p>
    <w:p w14:paraId="10DEEC34">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the authoritative 1:45–2:00 PM VWAP source and the calculation convention if trade-level data is used.</w:t>
      </w:r>
    </w:p>
    <w:p w14:paraId="110044B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t>Confirm market segment and runtime timezone alignment, late/corrected EOD feed handling, exact scan schedule, response envelope, and client identifier disclosure policy.</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8CE77B4"/>
    <w:rsid w:val="0A54530F"/>
    <w:rsid w:val="0A750537"/>
    <w:rsid w:val="11254AAD"/>
    <w:rsid w:val="17A032FB"/>
    <w:rsid w:val="1A5E42D0"/>
    <w:rsid w:val="1C1E4649"/>
    <w:rsid w:val="1D3A1DA5"/>
    <w:rsid w:val="206E4B8B"/>
    <w:rsid w:val="213A6FA5"/>
    <w:rsid w:val="2406762A"/>
    <w:rsid w:val="29C1221E"/>
    <w:rsid w:val="2D5A1875"/>
    <w:rsid w:val="30D72E30"/>
    <w:rsid w:val="32FA1831"/>
    <w:rsid w:val="341F5D90"/>
    <w:rsid w:val="351F6B4D"/>
    <w:rsid w:val="35BE7DBB"/>
    <w:rsid w:val="370757D3"/>
    <w:rsid w:val="38A46CD0"/>
    <w:rsid w:val="402C0554"/>
    <w:rsid w:val="411452A8"/>
    <w:rsid w:val="432050AF"/>
    <w:rsid w:val="4A09304E"/>
    <w:rsid w:val="4CEC4311"/>
    <w:rsid w:val="50434BD4"/>
    <w:rsid w:val="509B32CD"/>
    <w:rsid w:val="50FA53DC"/>
    <w:rsid w:val="5114461E"/>
    <w:rsid w:val="57B317F1"/>
    <w:rsid w:val="622540F5"/>
    <w:rsid w:val="71EA5622"/>
    <w:rsid w:val="749E4DE3"/>
    <w:rsid w:val="75614B20"/>
    <w:rsid w:val="783B524E"/>
    <w:rsid w:val="7CC443BD"/>
    <w:rsid w:val="7DF425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2277</Words>
  <Characters>13897</Characters>
  <Lines>19</Lines>
  <Paragraphs>5</Paragraphs>
  <TotalTime>11</TotalTime>
  <ScaleCrop>false</ScaleCrop>
  <LinksUpToDate>false</LinksUpToDate>
  <CharactersWithSpaces>16216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2026-10-13T15:26:31Z</dcterms:modified>
  <dc:subject>EOD and Live Block Deal and Bulk Deal screener specification</dc:subject>
  <dc:title>Block / Bulk Deal Alert API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1033-12.1.0.28485</vt:lpwstr>
  </property>
  <property fmtid="{D5CDD505-2E9C-101B-9397-08002B2CF9AE}" pid="4" name="ICV">
    <vt:lpwstr>CA63136533274322A621CC9B511EE572_12</vt:lpwstr>
  </property>
</Properties>
</file>