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0975F">
      <w:pPr>
        <w:pStyle w:val="3"/>
        <w:jc w:val="center"/>
      </w:pPr>
      <w:r>
        <w:rPr>
          <w:b/>
          <w:bCs/>
        </w:rPr>
        <w:t>Head &amp; Shoulders Pattern Alert</w:t>
      </w:r>
    </w:p>
    <w:p w14:paraId="5BFBE968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API Definition</w:t>
      </w:r>
    </w:p>
    <w:p w14:paraId="61ECB47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Returns stocks whose recent daily OHLC candles satisfy the supplied Inverse Head &amp; Shoulders or Head &amp; Shoulders Top pattern rules.</w:t>
      </w:r>
    </w:p>
    <w:p w14:paraId="2791838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analysis uses a look-back of 30–90 daily candles. The specific window selection within that range must be configured or confirmed.</w:t>
      </w:r>
    </w:p>
    <w:p w14:paraId="70C35E4F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Inverse Head &amp; Shoulders</w:t>
      </w:r>
    </w:p>
    <w:p w14:paraId="43539EE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An Inverse Head &amp; Shoulders pattern is detected when the following supplied conditions are satisfied:</w:t>
      </w:r>
    </w:p>
    <w:p w14:paraId="150B6BE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Three Major Swing Lows occur in order: LS (left shoulder), H (head), and RS (right shoulder).</w:t>
      </w:r>
    </w:p>
    <w:p w14:paraId="558832E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Major Swing Highs P1 and P2 occur between those three lows, with P1 between LS and H and P2 between H and RS.</w:t>
      </w:r>
    </w:p>
    <w:p w14:paraId="0890E95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head is at least 3% below the lower of the two shoulder prices: H &lt;= 0.97 × min(LS, RS).</w:t>
      </w:r>
    </w:p>
    <w:p w14:paraId="0EE3AC3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shoulder prices satisfy |LS − RS| &lt;= 0.03 × LS.</w:t>
      </w:r>
    </w:p>
    <w:p w14:paraId="0644EA1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 prior downtrend exists. The formula for this trend is not specified and must be confirmed.</w:t>
      </w:r>
    </w:p>
    <w:p w14:paraId="12E307D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neckline is the line through P1 and P2. A neckline breakout is not specified as a required condition.</w:t>
      </w:r>
    </w:p>
    <w:p w14:paraId="40DE4DD3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Head &amp; Shoulders Top</w:t>
      </w:r>
    </w:p>
    <w:p w14:paraId="013268F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 Head &amp; Shoulders Top pattern is detected when the following supplied conditions are satisfied:</w:t>
      </w:r>
    </w:p>
    <w:p w14:paraId="191C934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Three Major Swing Highs occur in order: LS (left shoulder), H (head), and RS (right shoulder).</w:t>
      </w:r>
    </w:p>
    <w:p w14:paraId="31E2DE0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Major Swing Lows T1 and T2 occur between those three highs, with T1 between LS and H and T2 between H and RS.</w:t>
      </w:r>
    </w:p>
    <w:p w14:paraId="70234C1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head is at least 3% above the higher of the two shoulder prices: H &gt;= 1.03 × max(LS, RS).</w:t>
      </w:r>
    </w:p>
    <w:p w14:paraId="243CF0D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shoulder prices satisfy |LS − RS| &lt;= 0.03 × H.</w:t>
      </w:r>
    </w:p>
    <w:p w14:paraId="0312E5D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T1 &lt; LS AND T2 &lt; RS.</w:t>
      </w:r>
    </w:p>
    <w:p w14:paraId="44232BB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 prior uptrend exists. The formula for this trend is not specified and must be confirmed.</w:t>
      </w:r>
    </w:p>
    <w:p w14:paraId="7606326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neckline is the line through T1 and T2. A neckline breakout is not specified as a required condition.</w:t>
      </w:r>
    </w:p>
    <w:p w14:paraId="7FAE63BA">
      <w:pPr>
        <w:pStyle w:val="4"/>
        <w:numPr>
          <w:numId w:val="0"/>
        </w:numPr>
        <w:rPr>
          <w:rFonts w:hint="default"/>
          <w:lang w:val="en-US"/>
        </w:rPr>
      </w:pPr>
    </w:p>
    <w:p w14:paraId="389962D5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Request</w:t>
      </w:r>
    </w:p>
    <w:p w14:paraId="3E3C0CDD">
      <w:pPr>
        <w:pStyle w:val="5"/>
      </w:pPr>
      <w:r>
        <w:rPr>
          <w:sz w:val="21"/>
          <w:szCs w:val="21"/>
        </w:rP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7404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0163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Method</w:t>
            </w:r>
          </w:p>
        </w:tc>
        <w:tc>
          <w:tcPr>
            <w:tcW w:w="740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2A37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49C5">
            <w:pPr>
              <w:spacing w:after="0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GET</w:t>
            </w:r>
          </w:p>
        </w:tc>
        <w:tc>
          <w:tcPr>
            <w:tcW w:w="740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BB2E">
            <w:pPr>
              <w:spacing w:after="0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/api/eodanalytics/</w:t>
            </w:r>
            <w:r>
              <w:rPr>
                <w:rFonts w:hint="default" w:ascii="Calibri" w:hAnsi="Calibri"/>
                <w:sz w:val="18"/>
                <w:szCs w:val="18"/>
              </w:rPr>
              <w:t>TechnicalScreeners</w:t>
            </w:r>
            <w:r>
              <w:rPr>
                <w:rFonts w:ascii="Calibri" w:hAnsi="Calibri"/>
                <w:sz w:val="18"/>
                <w:szCs w:val="18"/>
              </w:rPr>
              <w:t>/HeadAndShoulders/{exchange}/{ticker?}</w:t>
            </w:r>
          </w:p>
        </w:tc>
      </w:tr>
      <w:tr w14:paraId="706A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BC27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GET</w:t>
            </w:r>
          </w:p>
        </w:tc>
        <w:tc>
          <w:tcPr>
            <w:tcW w:w="740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A661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/api/eodanalytics/</w:t>
            </w:r>
            <w:r>
              <w:rPr>
                <w:rFonts w:hint="default" w:ascii="Calibri" w:hAnsi="Calibri"/>
                <w:sz w:val="18"/>
                <w:szCs w:val="18"/>
              </w:rPr>
              <w:t>TechnicalScreeners</w:t>
            </w:r>
            <w:r>
              <w:rPr>
                <w:rFonts w:hint="default"/>
                <w:sz w:val="18"/>
                <w:szCs w:val="18"/>
                <w:lang w:val="en-AU"/>
              </w:rPr>
              <w:t>Live</w:t>
            </w:r>
            <w:r>
              <w:rPr>
                <w:rFonts w:ascii="Calibri" w:hAnsi="Calibri"/>
                <w:sz w:val="18"/>
                <w:szCs w:val="18"/>
              </w:rPr>
              <w:t>/HeadAndShoulders/{exchange}/{ticker?}</w:t>
            </w:r>
          </w:p>
        </w:tc>
      </w:tr>
    </w:tbl>
    <w:p w14:paraId="0BE9EDEB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Path Parameters</w:t>
      </w:r>
    </w:p>
    <w:tbl>
      <w:tblPr>
        <w:tblStyle w:val="12"/>
        <w:tblW w:w="90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1445"/>
        <w:gridCol w:w="5959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FC1A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Parameter</w:t>
            </w:r>
          </w:p>
        </w:tc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7CC8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Required</w:t>
            </w:r>
          </w:p>
        </w:tc>
        <w:tc>
          <w:tcPr>
            <w:tcW w:w="595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EA5F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63E5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exchange</w:t>
            </w:r>
          </w:p>
        </w:tc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46CB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Yes</w:t>
            </w:r>
          </w:p>
        </w:tc>
        <w:tc>
          <w:tcPr>
            <w:tcW w:w="595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66C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Exchange to analyze, such as NSE or BSE.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43F1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ticker</w:t>
            </w:r>
          </w:p>
        </w:tc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064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</w:t>
            </w:r>
          </w:p>
        </w:tc>
        <w:tc>
          <w:tcPr>
            <w:tcW w:w="595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C051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Specific stock ticker. If omitted, evaluate all stocks for the exchange.</w:t>
            </w:r>
          </w:p>
        </w:tc>
      </w:tr>
    </w:tbl>
    <w:p w14:paraId="61F1047C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Response</w:t>
      </w:r>
    </w:p>
    <w:p w14:paraId="2803EE4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response should identify the detected pattern and its swing points, neckline points, prior-trend result, and latest evaluated candle. Field names below are suggested and should follow the existing MarketAlert response envelope.</w:t>
      </w:r>
    </w:p>
    <w:tbl>
      <w:tblPr>
        <w:tblStyle w:val="12"/>
        <w:tblW w:w="90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1229"/>
        <w:gridCol w:w="4951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2FE6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24F7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Type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98FD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4950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ticker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1F4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DE2A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Stock ticker.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94F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token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FB25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EBA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Security/token identifier.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864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pattern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EA4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621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HeadAndShoulders.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744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isPatternDetected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5DB2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bool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123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Whether a valid pattern was detected.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3B4B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patternType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B959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64F9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Inverse Head &amp; Shoulders or Head &amp; Shoulders Top.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E4A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direction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F9E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A189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Bullish for inverse; Bearish for top.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7B3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lookbackCandles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27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int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FAF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Number of daily candles in the evaluated pattern window.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D2F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leftShoulderPrice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119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B321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LS price: Low for inverse; High for top.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CEA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headPrice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ABF1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F4B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 price: Low for inverse; High for top.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76E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rightShoulderPrice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34A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EF90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RS price: Low for inverse; High for top.</w:t>
            </w:r>
          </w:p>
        </w:tc>
      </w:tr>
      <w:tr w14:paraId="6F34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427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leftShoulderDate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B8E9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411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Trading date of LS.</w:t>
            </w:r>
          </w:p>
        </w:tc>
      </w:tr>
      <w:tr w14:paraId="5760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50A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headDate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A95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10B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Trading date of H.</w:t>
            </w:r>
          </w:p>
        </w:tc>
      </w:tr>
      <w:tr w14:paraId="6007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9FD9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rightShoulderDate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1F92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6AE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Trading date of RS.</w:t>
            </w:r>
          </w:p>
        </w:tc>
      </w:tr>
      <w:tr w14:paraId="623B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113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necklinePoint1Price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8BEA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F50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P1 for inverse; T1 for top.</w:t>
            </w:r>
          </w:p>
        </w:tc>
      </w:tr>
      <w:tr w14:paraId="339E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20E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necklinePoint2Price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4CC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7C73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P2 for inverse; T2 for top.</w:t>
            </w:r>
          </w:p>
        </w:tc>
      </w:tr>
      <w:tr w14:paraId="145C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96E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necklinePoint1Date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C95A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34C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Trading date of P1 or T1.</w:t>
            </w:r>
          </w:p>
        </w:tc>
      </w:tr>
      <w:tr w14:paraId="1436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B3A8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necklinePoint2Date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7A93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AAF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Trading date of P2 or T2.</w:t>
            </w:r>
          </w:p>
        </w:tc>
      </w:tr>
      <w:tr w14:paraId="70AD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0EE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shoulderDifference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D313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AF62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|LS − RS|.</w:t>
            </w:r>
          </w:p>
        </w:tc>
      </w:tr>
      <w:tr w14:paraId="6435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6E6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shoulderDifferencePercent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7C85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4555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Inverse: |LS − RS| / LS × 100. Top: |LS − RS| / H × 100.</w:t>
            </w:r>
          </w:p>
        </w:tc>
      </w:tr>
      <w:tr w14:paraId="7DA1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81F0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headExtensionPercent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BBB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3D0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Descriptive only: inverse (min(LS,RS) − H) / min(LS,RS) × 100; top (H − max(LS,RS)) / max(LS,RS) × 100.</w:t>
            </w:r>
          </w:p>
        </w:tc>
      </w:tr>
      <w:tr w14:paraId="7A6E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963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priorTrend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323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F61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Downtrend or Uptrend using the confirmed trend method.</w:t>
            </w:r>
          </w:p>
        </w:tc>
      </w:tr>
      <w:tr w14:paraId="65BD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6AC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neckline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91D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object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0A6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Suggested representation containing the two defining points. Does not imply breakout.</w:t>
            </w:r>
          </w:p>
        </w:tc>
      </w:tr>
      <w:tr w14:paraId="5C8C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526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lastClose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8AB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decimal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A1A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Close of latest evaluated daily candle.</w:t>
            </w:r>
          </w:p>
        </w:tc>
      </w:tr>
      <w:tr w14:paraId="4ACD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163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lastCandleDate</w:t>
            </w:r>
          </w:p>
        </w:tc>
        <w:tc>
          <w:tcPr>
            <w:tcW w:w="122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8203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string</w:t>
            </w:r>
          </w:p>
        </w:tc>
        <w:tc>
          <w:tcPr>
            <w:tcW w:w="495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8C70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Date of latest evaluated daily candle.</w:t>
            </w:r>
          </w:p>
        </w:tc>
      </w:tr>
    </w:tbl>
    <w:p w14:paraId="6B0EF6BE">
      <w:pPr>
        <w:pStyle w:val="3"/>
        <w:bidi w:val="0"/>
        <w:rPr>
          <w:rFonts w:hint="default"/>
          <w:b/>
          <w:bCs/>
          <w:sz w:val="22"/>
          <w:szCs w:val="22"/>
        </w:rPr>
      </w:pPr>
    </w:p>
    <w:p w14:paraId="56AB2A17">
      <w:pPr>
        <w:pStyle w:val="4"/>
        <w:bidi w:val="0"/>
        <w:rPr>
          <w:rFonts w:hint="default"/>
        </w:rPr>
      </w:pPr>
      <w:r>
        <w:rPr>
          <w:rFonts w:hint="default"/>
          <w:sz w:val="24"/>
          <w:szCs w:val="24"/>
        </w:rPr>
        <w:t>Illustrative JSON — Inverse Head &amp; Shoulder</w:t>
      </w:r>
    </w:p>
    <w:p w14:paraId="7C40A1E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5D33854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"2026-09-24T18:00:00",</w:t>
      </w:r>
    </w:p>
    <w:p w14:paraId="773F0FE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6284CA3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</w:t>
      </w:r>
      <w:r>
        <w:rPr>
          <w:rFonts w:hint="default" w:ascii="Consolas" w:hAnsi="Consolas" w:eastAsia="Consolas" w:cs="Consolas"/>
          <w:sz w:val="17"/>
          <w:szCs w:val="17"/>
          <w:lang w:val="en-AU"/>
        </w:rPr>
        <w:t>ltd</w:t>
      </w:r>
      <w:r>
        <w:rPr>
          <w:rFonts w:hint="default" w:ascii="Consolas" w:hAnsi="Consolas" w:eastAsia="Consolas" w:cs="Consolas"/>
          <w:sz w:val="17"/>
          <w:szCs w:val="17"/>
        </w:rPr>
        <w:t>": "",</w:t>
      </w:r>
    </w:p>
    <w:p w14:paraId="241092D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50470A7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18738E1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06A831A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6F87CA7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"HeadAndShoulders",</w:t>
      </w:r>
    </w:p>
    <w:p w14:paraId="1BCE2E7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22ADEC4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"patternType": "Inverse Head &amp; Shoulders",</w:t>
      </w:r>
    </w:p>
    <w:p w14:paraId="3066915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"direction": "Bullish",</w:t>
      </w:r>
    </w:p>
    <w:p w14:paraId="59BFDB5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"lookbackCandles": 60,</w:t>
      </w:r>
    </w:p>
    <w:p w14:paraId="13533B2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"leftShoulderPrice": 145.00,</w:t>
      </w:r>
    </w:p>
    <w:p w14:paraId="4FBCAEE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"headPrice": 137.00,</w:t>
      </w:r>
    </w:p>
    <w:p w14:paraId="185CF07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"rightShoulderPrice": 146.00,</w:t>
      </w:r>
    </w:p>
    <w:p w14:paraId="12309A1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"leftShoulderDate": "2026-07-15",</w:t>
      </w:r>
    </w:p>
    <w:p w14:paraId="3F21CAB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"headDate": "2026-08-10",</w:t>
      </w:r>
    </w:p>
    <w:p w14:paraId="167DE10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"rightShoulderDate": "2026-09-02",</w:t>
      </w:r>
    </w:p>
    <w:p w14:paraId="1A85614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"necklinePoint1Price": 151.00,</w:t>
      </w:r>
    </w:p>
    <w:p w14:paraId="19DAD38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"necklinePoint2Price": 152.50,</w:t>
      </w:r>
    </w:p>
    <w:p w14:paraId="02366E7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"necklinePoint1Date": "2026-07-28",</w:t>
      </w:r>
    </w:p>
    <w:p w14:paraId="7B100B4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"necklinePoint2Date": "2026-08-22",</w:t>
      </w:r>
    </w:p>
    <w:p w14:paraId="2AE89AF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"shoulderDifference": 1.00,</w:t>
      </w:r>
    </w:p>
    <w:p w14:paraId="53DE95A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"shoulderDifferencePercent": 0.69,</w:t>
      </w:r>
    </w:p>
    <w:p w14:paraId="73573C5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"headExtensionPercent": 5.52,</w:t>
      </w:r>
    </w:p>
    <w:p w14:paraId="1F0138E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"priorTrend": "Downtrend",</w:t>
      </w:r>
    </w:p>
    <w:p w14:paraId="0A4ED41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"neckline": {</w:t>
      </w:r>
    </w:p>
    <w:p w14:paraId="0C2AEB5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  "point1": { "date": "2026-07-28", "price": 151.00 },</w:t>
      </w:r>
    </w:p>
    <w:p w14:paraId="66D7958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  "point2": { "date": "2026-08-22", "price": 152.50 }</w:t>
      </w:r>
    </w:p>
    <w:p w14:paraId="1DC262C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},</w:t>
      </w:r>
    </w:p>
    <w:p w14:paraId="570E245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150.30,</w:t>
      </w:r>
    </w:p>
    <w:p w14:paraId="5B2EF0D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"2026-09-24"</w:t>
      </w:r>
    </w:p>
    <w:p w14:paraId="3854024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1DD412A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6611A802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32F90143">
      <w:pPr>
        <w:pStyle w:val="4"/>
        <w:bidi w:val="0"/>
        <w:rPr>
          <w:rFonts w:hint="default" w:ascii="Calibri" w:hAnsi="Calibri" w:cs="Calibri" w:eastAsiaTheme="minorEastAsia"/>
          <w:szCs w:val="21"/>
        </w:rPr>
      </w:pPr>
      <w:r>
        <w:rPr>
          <w:rFonts w:hint="default"/>
          <w:sz w:val="24"/>
          <w:szCs w:val="24"/>
        </w:rPr>
        <w:t>Illustrative JSON — Head &amp; Shoulders Top</w:t>
      </w:r>
    </w:p>
    <w:p w14:paraId="7E090CB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33E7FAC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"timeStamp": "2026-09-24T18:00:00",</w:t>
      </w:r>
    </w:p>
    <w:p w14:paraId="6B2CEE1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"exchange": "NSE",</w:t>
      </w:r>
    </w:p>
    <w:p w14:paraId="2A16E30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</w:t>
      </w:r>
      <w:r>
        <w:rPr>
          <w:rFonts w:hint="default" w:ascii="Consolas" w:hAnsi="Consolas" w:eastAsia="Consolas" w:cs="Consolas"/>
          <w:sz w:val="17"/>
          <w:szCs w:val="17"/>
          <w:lang w:val="en-AU"/>
        </w:rPr>
        <w:t>ltd</w:t>
      </w:r>
      <w:r>
        <w:rPr>
          <w:rFonts w:hint="default" w:ascii="Consolas" w:hAnsi="Consolas" w:eastAsia="Consolas" w:cs="Consolas"/>
          <w:sz w:val="17"/>
          <w:szCs w:val="17"/>
        </w:rPr>
        <w:t>": "",</w:t>
      </w:r>
    </w:p>
    <w:p w14:paraId="16B5DA3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"data": [</w:t>
      </w:r>
    </w:p>
    <w:p w14:paraId="07D654A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{</w:t>
      </w:r>
    </w:p>
    <w:p w14:paraId="0321F5B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"ticker": "APEXECO",</w:t>
      </w:r>
    </w:p>
    <w:p w14:paraId="0554C00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"token": 5421,</w:t>
      </w:r>
    </w:p>
    <w:p w14:paraId="7B86746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"pattern": "HeadAndShoulders",</w:t>
      </w:r>
    </w:p>
    <w:p w14:paraId="22BD29C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"isPatternDetected": true,</w:t>
      </w:r>
    </w:p>
    <w:p w14:paraId="33291CE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"patternType": "Head &amp; Shoulders Top",</w:t>
      </w:r>
    </w:p>
    <w:p w14:paraId="343DD8D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"direction": "Bearish",</w:t>
      </w:r>
    </w:p>
    <w:p w14:paraId="57CAD84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"lookbackCandles": 60,</w:t>
      </w:r>
    </w:p>
    <w:p w14:paraId="7E5EB72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"leftShoulderPrice": 250.00,</w:t>
      </w:r>
    </w:p>
    <w:p w14:paraId="3FB97C9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"headPrice": 261.00,</w:t>
      </w:r>
    </w:p>
    <w:p w14:paraId="46A3991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"rightShoulderPrice": 252.00,</w:t>
      </w:r>
    </w:p>
    <w:p w14:paraId="30E96D2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"leftShoulderDate": "2026-07-15",</w:t>
      </w:r>
    </w:p>
    <w:p w14:paraId="133FEBB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"headDate": "2026-08-10",</w:t>
      </w:r>
    </w:p>
    <w:p w14:paraId="2D8C97B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"rightShoulderDate": "2026-09-02",</w:t>
      </w:r>
    </w:p>
    <w:p w14:paraId="498728F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"necklinePoint1Price": 238.00,</w:t>
      </w:r>
    </w:p>
    <w:p w14:paraId="6480011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"necklinePoint2Price": 240.00,</w:t>
      </w:r>
    </w:p>
    <w:p w14:paraId="186FE7D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"necklinePoint1Date": "2026-07-28",</w:t>
      </w:r>
    </w:p>
    <w:p w14:paraId="31EBF9E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"necklinePoint2Date": "2026-08-22",</w:t>
      </w:r>
    </w:p>
    <w:p w14:paraId="5A2F281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"shoulderDifference": 2.00,</w:t>
      </w:r>
    </w:p>
    <w:p w14:paraId="2D66720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"shoulderDifferencePercent": 0.77,</w:t>
      </w:r>
    </w:p>
    <w:p w14:paraId="43C48FC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"headExtensionPercent": 3.56,</w:t>
      </w:r>
    </w:p>
    <w:p w14:paraId="66C3A41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"priorTrend": "Uptrend",</w:t>
      </w:r>
    </w:p>
    <w:p w14:paraId="56DC3FA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"neckline": {</w:t>
      </w:r>
    </w:p>
    <w:p w14:paraId="32D3810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  "point1": { "date": "2026-07-28", "price": 238.00 },</w:t>
      </w:r>
    </w:p>
    <w:p w14:paraId="59E86EA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  "point2": { "date": "2026-08-22", "price": 240.00 }</w:t>
      </w:r>
    </w:p>
    <w:p w14:paraId="495A1A3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},</w:t>
      </w:r>
    </w:p>
    <w:p w14:paraId="18E4FA1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"lastClose": 242.00,</w:t>
      </w:r>
    </w:p>
    <w:p w14:paraId="1D817A0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  "lastCandleDate": "2026-09-24"</w:t>
      </w:r>
    </w:p>
    <w:p w14:paraId="4C5BCBB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  }</w:t>
      </w:r>
    </w:p>
    <w:p w14:paraId="726886B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]</w:t>
      </w:r>
    </w:p>
    <w:p w14:paraId="1D048F6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4B5DE39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examples are illustrative. They do not define swing-point or trend rules and do not require a neckline breakout.</w:t>
      </w:r>
    </w:p>
    <w:p w14:paraId="42F6B9CB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7"/>
        <w:gridCol w:w="3612"/>
        <w:gridCol w:w="3341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00F1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Data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F8BC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Source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2CD6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244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Stock/Security Master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FF27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ChartPatternSqliteService.GetSecurityMasterAsync / masterdetail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FAA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Resolve ticker, exchange, and token.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637E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Historical daily OHLC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2F0A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SQLite historical bar table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3BDB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Obtain daily Open, High, Low, Close and symbol/date keys.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9A62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Bars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566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Bars table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7AD1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Identify or filter the Daily timeframe using existing schema conventions.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9A6D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Dates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B5BF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Dates table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45EB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Map trading dates and order candles chronologically.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5C14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Symbols</w:t>
            </w:r>
          </w:p>
        </w:tc>
        <w:tc>
          <w:tcPr>
            <w:tcW w:w="361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2B36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Symbols table</w:t>
            </w:r>
          </w:p>
        </w:tc>
        <w:tc>
          <w:tcPr>
            <w:tcW w:w="334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457C">
            <w:pPr>
              <w:spacing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Map symbol identifiers to ticker and exchange.</w:t>
            </w:r>
          </w:p>
        </w:tc>
      </w:tr>
    </w:tbl>
    <w:p w14:paraId="66488CF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Use the existing SQLite joins and filtering conventions in ChartPatternSqliteService.GetSecurityMasterAsync and the established masterdetail, historical bar, Bars, Dates, and Symbols structures. Do not assume column names beyond the project schema.</w:t>
      </w:r>
    </w:p>
    <w:p w14:paraId="0732EEA4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 Historical Data Requirement</w:t>
      </w:r>
    </w:p>
    <w:p w14:paraId="484CEB9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algorithm requires 30–90 daily candles for the pattern look-back. The requested window selection within this range is not specified.</w:t>
      </w:r>
    </w:p>
    <w:p w14:paraId="27BFE54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Additional earlier candles may be needed to establish the required prior trend. The trend formula and additional history length must be confirmed before implementation.</w:t>
      </w:r>
    </w:p>
    <w:p w14:paraId="74B3D72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Retrieve candles for the requested exchange, optional ticker, and Daily bar type. Process candles in chronological order:</w:t>
      </w:r>
    </w:p>
    <w:p w14:paraId="7A8726A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Style w:val="13"/>
          <w:rFonts w:hint="default" w:ascii="Calibri" w:hAnsi="Calibri" w:cs="Calibri"/>
          <w:sz w:val="21"/>
          <w:szCs w:val="21"/>
        </w:rPr>
        <w:t>Oldest</w:t>
      </w:r>
    </w:p>
    <w:p w14:paraId="279B14F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Style w:val="13"/>
          <w:rFonts w:hint="default" w:ascii="Calibri" w:hAnsi="Calibri" w:cs="Calibri"/>
          <w:sz w:val="21"/>
          <w:szCs w:val="21"/>
        </w:rPr>
        <w:t xml:space="preserve">   ↓</w:t>
      </w:r>
    </w:p>
    <w:p w14:paraId="69FF4F5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Style w:val="13"/>
          <w:rFonts w:hint="default" w:ascii="Calibri" w:hAnsi="Calibri" w:cs="Calibri"/>
          <w:sz w:val="21"/>
          <w:szCs w:val="21"/>
        </w:rPr>
        <w:t>Latest</w:t>
      </w:r>
    </w:p>
    <w:p w14:paraId="6C0EE2DB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 Computation Logic</w:t>
      </w:r>
    </w:p>
    <w:p w14:paraId="3A289C37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6.1 Candle Definition</w:t>
      </w:r>
    </w:p>
    <w:p w14:paraId="1D23B8C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For each daily candle, use Open, High, Low, Close, trading date, and symbol/security identifier from the established historical bar schema.</w:t>
      </w:r>
    </w:p>
    <w:p w14:paraId="1E21C4C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Sort data oldest to newest before detecting candidate formations. Preserve the candle index and date for ordering and reporting.</w:t>
      </w:r>
    </w:p>
    <w:p w14:paraId="4F3638B0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6.2 Major Swing Highs and Major Swing Lows</w:t>
      </w:r>
    </w:p>
    <w:p w14:paraId="70D921B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rules require Major Swing Highs and Major Swing Lows but do not define how to identify or confirm them. The swing-point definition, tie handling, and confirmation/look-ahead behavior are decisions to confirm before implementation.</w:t>
      </w:r>
    </w:p>
    <w:p w14:paraId="43676CA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Do not reuse the Triangle Breakout sample swing rule or assume any other local-high/local-low formula for this alert.</w:t>
      </w:r>
    </w:p>
    <w:p w14:paraId="24A661D1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6.3 Prior Trend</w:t>
      </w:r>
    </w:p>
    <w:p w14:paraId="1A20ED5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The inverse pattern requires a prior downtrend and the top pattern requires a prior uptrend. Neither trend formula, evaluation window, anchor point, nor history requirement is supplied. These must be confirmed before implementation.</w:t>
      </w:r>
    </w:p>
    <w:p w14:paraId="5646BE10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 Inverse Head &amp; Shoulders Detection</w:t>
      </w:r>
    </w:p>
    <w:p w14:paraId="26B4D0D4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1</w:t>
      </w:r>
    </w:p>
    <w:p w14:paraId="4EB7A0F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Identify three Major Swing Lows in chronological order: LS, H, and RS.</w:t>
      </w:r>
    </w:p>
    <w:p w14:paraId="4B81D9A1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2</w:t>
      </w:r>
    </w:p>
    <w:p w14:paraId="7754537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Identify Major Swing High P1 between LS and H, and Major Swing High P2 between H and RS. The neckline is the line through P1 and P2.</w:t>
      </w:r>
    </w:p>
    <w:p w14:paraId="2A04F1CC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3</w:t>
      </w:r>
    </w:p>
    <w:p w14:paraId="1E391F8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Validate the head depth:</w:t>
      </w:r>
    </w:p>
    <w:p w14:paraId="17555B9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&lt;= 0.97 × min(LS, RS)</w:t>
      </w:r>
    </w:p>
    <w:p w14:paraId="0942BC92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4</w:t>
      </w:r>
    </w:p>
    <w:p w14:paraId="52898E4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Validate shoulder similarity using LS as the specified reference:</w:t>
      </w:r>
    </w:p>
    <w:p w14:paraId="208532C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|LS − RS| &lt;= 0.03 × LS</w:t>
      </w:r>
    </w:p>
    <w:p w14:paraId="46B0FB38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5</w:t>
      </w:r>
    </w:p>
    <w:p w14:paraId="1128519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Confirm a prior downtrend using the project rule once defined. Reject the candidate if the required trend is not established.</w:t>
      </w:r>
    </w:p>
    <w:p w14:paraId="290927A5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Result</w:t>
      </w:r>
    </w:p>
    <w:p w14:paraId="12AE996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If all supplied conditions are satisfied:</w:t>
      </w:r>
    </w:p>
    <w:p w14:paraId="474C912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PatternType = Inverse Head &amp; Shoulders</w:t>
      </w:r>
    </w:p>
    <w:p w14:paraId="6AB2EC5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Direction = Bullish</w:t>
      </w:r>
    </w:p>
    <w:p w14:paraId="3F26F6B3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8. Head &amp; Shoulders Top Detection</w:t>
      </w:r>
    </w:p>
    <w:p w14:paraId="427FD788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1</w:t>
      </w:r>
    </w:p>
    <w:p w14:paraId="78A582D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Identify three Major Swing Highs in chronological order: LS, H, and RS.</w:t>
      </w:r>
    </w:p>
    <w:p w14:paraId="34605A8C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2</w:t>
      </w:r>
    </w:p>
    <w:p w14:paraId="42156D7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Identify Major Swing Low T1 between LS and H, and Major Swing Low T2 between H and RS. The neckline is the line through T1 and T2.</w:t>
      </w:r>
    </w:p>
    <w:p w14:paraId="37275B37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3</w:t>
      </w:r>
    </w:p>
    <w:p w14:paraId="0600998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Validate head height:</w:t>
      </w:r>
    </w:p>
    <w:p w14:paraId="2D5E869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&gt;= 1.03 × max(LS, RS)</w:t>
      </w:r>
    </w:p>
    <w:p w14:paraId="2377CD92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4</w:t>
      </w:r>
    </w:p>
    <w:p w14:paraId="5EDCCF4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Validate shoulder similarity using H as the specified reference:</w:t>
      </w:r>
    </w:p>
    <w:p w14:paraId="794212E9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|LS − RS| &lt;= 0.03 × H</w:t>
      </w:r>
    </w:p>
    <w:p w14:paraId="7FD60C4F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5</w:t>
      </w:r>
    </w:p>
    <w:p w14:paraId="3318D6A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Validate the neckline-point relations:</w:t>
      </w:r>
    </w:p>
    <w:p w14:paraId="732BE1A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T1 &lt; LS AND T2 &lt; RS</w:t>
      </w:r>
    </w:p>
    <w:p w14:paraId="0D5BE0BA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6</w:t>
      </w:r>
    </w:p>
    <w:p w14:paraId="0683096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Confirm a prior uptrend using the project rule once defined. Reject the candidate if the required trend is not established.</w:t>
      </w:r>
    </w:p>
    <w:p w14:paraId="4B15E97F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Result</w:t>
      </w:r>
    </w:p>
    <w:p w14:paraId="5D133CE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If all supplied conditions are satisfied:</w:t>
      </w:r>
    </w:p>
    <w:p w14:paraId="46CA483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PatternType = Head &amp; Shoulders Top</w:t>
      </w:r>
    </w:p>
    <w:p w14:paraId="123C670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Direction = Bearish</w:t>
      </w:r>
    </w:p>
    <w:p w14:paraId="7373A093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9. Complete Detection Logic</w:t>
      </w:r>
    </w:p>
    <w:p w14:paraId="4F654CF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Inverse Head &amp; Shoulders is detected when:</w:t>
      </w:r>
    </w:p>
    <w:p w14:paraId="2978A87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Three ordered Major Swing Lows LS, H, RS exist.</w:t>
      </w:r>
    </w:p>
    <w:p w14:paraId="06FA290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P1 is a Major Swing High between LS and H, and P2 is a Major Swing High between H and RS.</w:t>
      </w:r>
    </w:p>
    <w:p w14:paraId="0877623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&lt;= 0.97 × min(LS, RS).</w:t>
      </w:r>
    </w:p>
    <w:p w14:paraId="2C49DAF4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|LS − RS| &lt;= 0.03 × LS.</w:t>
      </w:r>
    </w:p>
    <w:p w14:paraId="40C60A5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Prior Downtrend = TRUE under the confirmed trend rule.</w:t>
      </w:r>
    </w:p>
    <w:p w14:paraId="3C6E4A7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Neckline = line through P1 and P2. No inter-swing candle-distance threshold or neckline-breakout condition is specified.</w:t>
      </w:r>
    </w:p>
    <w:p w14:paraId="7CD9540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Head &amp; Shoulders Top is detected when:</w:t>
      </w:r>
    </w:p>
    <w:p w14:paraId="500E057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Three ordered Major Swing Highs LS, H, RS exist.</w:t>
      </w:r>
    </w:p>
    <w:p w14:paraId="3ECCB69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T1 is a Major Swing Low between LS and H, and T2 is a Major Swing Low between H and RS.</w:t>
      </w:r>
    </w:p>
    <w:p w14:paraId="0077836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H &gt;= 1.03 × max(LS, RS).</w:t>
      </w:r>
    </w:p>
    <w:p w14:paraId="388F722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|LS − RS| &lt;= 0.03 × H.</w:t>
      </w:r>
    </w:p>
    <w:p w14:paraId="5E718E5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T1 &lt; LS AND T2 &lt; RS.</w:t>
      </w:r>
    </w:p>
    <w:p w14:paraId="6D2A8629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Prior Uptrend = TRUE under the confirmed trend rule.</w:t>
      </w:r>
    </w:p>
    <w:p w14:paraId="4FBFEE4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Neckline = line through T1 and T2. No inter-swing candle-distance threshold or neckline-breakout condition is specified.</w:t>
      </w:r>
    </w:p>
    <w:p w14:paraId="09A5C56C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Decisions to Confirm</w:t>
      </w:r>
    </w:p>
    <w:p w14:paraId="775C22C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Major Swing High/Low definitions, tie handling, and confirmation behavior.</w:t>
      </w:r>
    </w:p>
    <w:p w14:paraId="60E92B5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Prior uptrend/downtrend formulas, evaluation anchors, and required history.</w:t>
      </w:r>
    </w:p>
    <w:p w14:paraId="5BCDAA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Candle-distance convention. No inter-swing spacing rule is supplied.</w:t>
      </w:r>
    </w:p>
    <w:p w14:paraId="0C06140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Look-back selection within 30–90 daily candles.</w:t>
      </w:r>
    </w:p>
    <w:p w14:paraId="3001AF1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Whether a neckline breakout is required. The supplied rules do not make it mandatory.</w:t>
      </w:r>
    </w:p>
    <w:p w14:paraId="1DE29C1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Whether multiple valid patterns are returned or only one is selected.</w:t>
      </w:r>
    </w:p>
    <w:p w14:paraId="2D85FA5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Final response envelope and neckline representation according to existing API conventions.</w:t>
      </w:r>
    </w:p>
    <w:p w14:paraId="41DCBE44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10. Processing Flow</w:t>
      </w:r>
    </w:p>
    <w:p w14:paraId="798DF51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Request</w:t>
      </w:r>
    </w:p>
    <w:p w14:paraId="74BD11B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5BB5EDE6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Exchange</w:t>
      </w:r>
    </w:p>
    <w:p w14:paraId="4EECF34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|-- Ticker (optional)</w:t>
      </w:r>
    </w:p>
    <w:p w14:paraId="62D87B5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2B56969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0996F9D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Validate request</w:t>
      </w:r>
    </w:p>
    <w:p w14:paraId="2DC456A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3DECE384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0DE3052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Resolve security master</w:t>
      </w:r>
    </w:p>
    <w:p w14:paraId="7FC02DC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1DEBCD04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464E46C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Load 30–90 daily candles and any confirmed trend history</w:t>
      </w:r>
    </w:p>
    <w:p w14:paraId="26F6D97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3D46AB4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2C12F7E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Sort candles oldest to newest</w:t>
      </w:r>
    </w:p>
    <w:p w14:paraId="7E5114C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447B3FF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↓</w:t>
      </w:r>
    </w:p>
    <w:p w14:paraId="626A9AB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Identify candidate Major Swing Highs and Lows using the confirmed rules</w:t>
      </w:r>
    </w:p>
    <w:p w14:paraId="0B9E6AA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</w:t>
      </w:r>
    </w:p>
    <w:p w14:paraId="37B5D8F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+-------------------------------+</w:t>
      </w:r>
    </w:p>
    <w:p w14:paraId="672FBB3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      |</w:t>
      </w:r>
    </w:p>
    <w:p w14:paraId="2A83B6D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Inverse H&amp;S candidates       H&amp;S Top candidates</w:t>
      </w:r>
    </w:p>
    <w:p w14:paraId="4DE95D8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      |</w:t>
      </w:r>
    </w:p>
    <w:p w14:paraId="377353D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Validate supplied inverse     Validate supplied top</w:t>
      </w:r>
    </w:p>
    <w:p w14:paraId="7C5D4BD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inequalities and downtrend     inequalities and uptrend</w:t>
      </w:r>
    </w:p>
    <w:p w14:paraId="70FB76E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|                               |</w:t>
      </w:r>
    </w:p>
    <w:p w14:paraId="2AFEE3C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+---------------+---------------+</w:t>
      </w:r>
    </w:p>
    <w:p w14:paraId="4AF4963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   |</w:t>
      </w:r>
    </w:p>
    <w:p w14:paraId="1CF0090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   ↓</w:t>
      </w:r>
    </w:p>
    <w:p w14:paraId="13748325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 xml:space="preserve">                 Response</w:t>
      </w:r>
    </w:p>
    <w:p w14:paraId="0A37B1BE">
      <w:pPr>
        <w:pStyle w:val="14"/>
        <w:keepNext w:val="0"/>
        <w:keepLines w:val="0"/>
        <w:widowControl/>
        <w:suppressLineNumbers w:val="0"/>
        <w:rPr>
          <w:rStyle w:val="13"/>
          <w:rFonts w:hint="default" w:ascii="Calibri" w:hAnsi="Calibri" w:cs="Calibri"/>
          <w:sz w:val="20"/>
          <w:szCs w:val="20"/>
        </w:rPr>
      </w:pPr>
    </w:p>
    <w:p w14:paraId="7CB4D579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11. Edge Cases</w:t>
      </w: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5869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05A3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Scenario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E5A8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A22D">
            <w:pPr>
              <w:spacing w:after="0"/>
            </w:pPr>
            <w:r>
              <w:rPr>
                <w:rFonts w:ascii="Calibri" w:hAnsi="Calibri"/>
                <w:sz w:val="21"/>
              </w:rPr>
              <w:t>Fewer than 30 usable daily candles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F428">
            <w:pPr>
              <w:spacing w:after="0"/>
            </w:pPr>
            <w:r>
              <w:rPr>
                <w:rFonts w:ascii="Calibri" w:hAnsi="Calibri"/>
                <w:sz w:val="21"/>
              </w:rPr>
              <w:t>Do not report a confirmed pattern; use established insufficient-data behavior.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1C1F">
            <w:pPr>
              <w:spacing w:after="0"/>
            </w:pPr>
            <w:r>
              <w:rPr>
                <w:rFonts w:ascii="Calibri" w:hAnsi="Calibri"/>
                <w:sz w:val="21"/>
              </w:rPr>
              <w:t>More than 90 candles available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2EED">
            <w:pPr>
              <w:spacing w:after="0"/>
            </w:pPr>
            <w:r>
              <w:rPr>
                <w:rFonts w:ascii="Calibri" w:hAnsi="Calibri"/>
                <w:sz w:val="21"/>
              </w:rPr>
              <w:t>Apply the agreed look-back selection; do not invent a new window rule.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CDC7">
            <w:pPr>
              <w:spacing w:after="0"/>
            </w:pPr>
            <w:r>
              <w:rPr>
                <w:rFonts w:ascii="Calibri" w:hAnsi="Calibri"/>
                <w:sz w:val="21"/>
              </w:rPr>
              <w:t>No valid Major Swing sequence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67BA">
            <w:pPr>
              <w:spacing w:after="0"/>
            </w:pPr>
            <w:r>
              <w:rPr>
                <w:rFonts w:ascii="Calibri" w:hAnsi="Calibri"/>
                <w:sz w:val="21"/>
              </w:rPr>
              <w:t>Pattern not detected.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BEFE">
            <w:pPr>
              <w:spacing w:after="0"/>
            </w:pPr>
            <w:r>
              <w:rPr>
                <w:rFonts w:ascii="Calibri" w:hAnsi="Calibri"/>
                <w:sz w:val="21"/>
              </w:rPr>
              <w:t>Inverse head condition fails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E08E">
            <w:pPr>
              <w:spacing w:after="0"/>
            </w:pPr>
            <w:r>
              <w:rPr>
                <w:rFonts w:ascii="Calibri" w:hAnsi="Calibri"/>
                <w:sz w:val="21"/>
              </w:rPr>
              <w:t>Reject the inverse candidate.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4763">
            <w:pPr>
              <w:spacing w:after="0"/>
            </w:pPr>
            <w:r>
              <w:rPr>
                <w:rFonts w:ascii="Calibri" w:hAnsi="Calibri"/>
                <w:sz w:val="21"/>
              </w:rPr>
              <w:t>Inverse shoulder condition fails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6E56">
            <w:pPr>
              <w:spacing w:after="0"/>
            </w:pPr>
            <w:r>
              <w:rPr>
                <w:rFonts w:ascii="Calibri" w:hAnsi="Calibri"/>
                <w:sz w:val="21"/>
              </w:rPr>
              <w:t>Reject the inverse candidate.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BC51">
            <w:pPr>
              <w:spacing w:after="0"/>
            </w:pPr>
            <w:r>
              <w:rPr>
                <w:rFonts w:ascii="Calibri" w:hAnsi="Calibri"/>
                <w:sz w:val="21"/>
              </w:rPr>
              <w:t>Top head or shoulder condition fails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E744">
            <w:pPr>
              <w:spacing w:after="0"/>
            </w:pPr>
            <w:r>
              <w:rPr>
                <w:rFonts w:ascii="Calibri" w:hAnsi="Calibri"/>
                <w:sz w:val="21"/>
              </w:rPr>
              <w:t>Reject the H&amp;S Top candidate.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9390">
            <w:pPr>
              <w:spacing w:after="0"/>
            </w:pPr>
            <w:r>
              <w:rPr>
                <w:rFonts w:ascii="Calibri" w:hAnsi="Calibri"/>
                <w:sz w:val="21"/>
              </w:rPr>
              <w:t>T1 &gt;= LS or T2 &gt;= RS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8B50">
            <w:pPr>
              <w:spacing w:after="0"/>
            </w:pPr>
            <w:r>
              <w:rPr>
                <w:rFonts w:ascii="Calibri" w:hAnsi="Calibri"/>
                <w:sz w:val="21"/>
              </w:rPr>
              <w:t>Reject the H&amp;S Top candidate.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06D2">
            <w:pPr>
              <w:spacing w:after="0"/>
            </w:pPr>
            <w:r>
              <w:rPr>
                <w:rFonts w:ascii="Calibri" w:hAnsi="Calibri"/>
                <w:sz w:val="21"/>
              </w:rPr>
              <w:t>Prior trend is not established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D90D">
            <w:pPr>
              <w:spacing w:after="0"/>
            </w:pPr>
            <w:r>
              <w:rPr>
                <w:rFonts w:ascii="Calibri" w:hAnsi="Calibri"/>
                <w:sz w:val="21"/>
              </w:rPr>
              <w:t>Do not report the candidate as a valid pattern.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B745">
            <w:pPr>
              <w:spacing w:after="0"/>
            </w:pPr>
            <w:r>
              <w:rPr>
                <w:rFonts w:ascii="Calibri" w:hAnsi="Calibri"/>
                <w:sz w:val="21"/>
              </w:rPr>
              <w:t>Neckline has not been crossed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38A3">
            <w:pPr>
              <w:spacing w:after="0"/>
            </w:pPr>
            <w:r>
              <w:rPr>
                <w:rFonts w:ascii="Calibri" w:hAnsi="Calibri"/>
                <w:sz w:val="21"/>
              </w:rPr>
              <w:t>Do not reject solely for this reason unless breakout is separately confirmed as required.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51F8">
            <w:pPr>
              <w:spacing w:after="0"/>
            </w:pPr>
            <w:r>
              <w:rPr>
                <w:rFonts w:ascii="Calibri" w:hAnsi="Calibri"/>
                <w:sz w:val="21"/>
              </w:rPr>
              <w:t>Missing/invalid OHLC or dates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748F">
            <w:pPr>
              <w:spacing w:after="0"/>
            </w:pPr>
            <w:r>
              <w:rPr>
                <w:rFonts w:ascii="Calibri" w:hAnsi="Calibri"/>
                <w:sz w:val="21"/>
              </w:rPr>
              <w:t>Handle using existing service conventions; do not fabricate values.</w:t>
            </w:r>
          </w:p>
        </w:tc>
      </w:tr>
      <w:tr w14:paraId="69EC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5BC0">
            <w:pPr>
              <w:spacing w:after="0"/>
            </w:pPr>
            <w:r>
              <w:rPr>
                <w:rFonts w:ascii="Calibri" w:hAnsi="Calibri"/>
                <w:sz w:val="21"/>
              </w:rPr>
              <w:t>No historical data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36D2">
            <w:pPr>
              <w:spacing w:after="0"/>
            </w:pPr>
            <w:r>
              <w:rPr>
                <w:rFonts w:ascii="Calibri" w:hAnsi="Calibri"/>
                <w:sz w:val="21"/>
              </w:rPr>
              <w:t>Return data unavailable according to API conventions.</w:t>
            </w:r>
          </w:p>
        </w:tc>
      </w:tr>
      <w:tr w14:paraId="7E6A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96AC">
            <w:pPr>
              <w:spacing w:after="0"/>
            </w:pPr>
            <w:r>
              <w:rPr>
                <w:rFonts w:ascii="Calibri" w:hAnsi="Calibri"/>
                <w:sz w:val="21"/>
              </w:rPr>
              <w:t>Invalid ticker or exchange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F302">
            <w:pPr>
              <w:spacing w:after="0"/>
            </w:pPr>
            <w:r>
              <w:rPr>
                <w:rFonts w:ascii="Calibri" w:hAnsi="Calibri"/>
                <w:sz w:val="21"/>
              </w:rPr>
              <w:t>Return established not-found or validation response.</w:t>
            </w:r>
          </w:p>
        </w:tc>
      </w:tr>
      <w:tr w14:paraId="0193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B3AF">
            <w:pPr>
              <w:spacing w:after="0"/>
            </w:pPr>
            <w:r>
              <w:rPr>
                <w:rFonts w:ascii="Calibri" w:hAnsi="Calibri"/>
                <w:sz w:val="21"/>
              </w:rPr>
              <w:t>Multiple qualifying formations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0A37">
            <w:pPr>
              <w:spacing w:after="0"/>
            </w:pPr>
            <w:r>
              <w:rPr>
                <w:rFonts w:ascii="Calibri" w:hAnsi="Calibri"/>
                <w:sz w:val="21"/>
              </w:rPr>
              <w:t>Apply only the confirmed selection/response policy.</w:t>
            </w:r>
          </w:p>
        </w:tc>
      </w:tr>
      <w:tr w14:paraId="415B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350B">
            <w:pPr>
              <w:spacing w:after="0"/>
            </w:pPr>
            <w:r>
              <w:rPr>
                <w:rFonts w:ascii="Calibri" w:hAnsi="Calibri"/>
                <w:sz w:val="21"/>
              </w:rPr>
              <w:t>SQLite/database failure</w:t>
            </w:r>
          </w:p>
        </w:tc>
        <w:tc>
          <w:tcPr>
            <w:tcW w:w="586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A3FD">
            <w:pPr>
              <w:spacing w:after="0"/>
            </w:pPr>
            <w:r>
              <w:rPr>
                <w:rFonts w:ascii="Calibri" w:hAnsi="Calibri"/>
                <w:sz w:val="21"/>
              </w:rPr>
              <w:t>Log the failure and return generic server error.</w:t>
            </w:r>
          </w:p>
        </w:tc>
      </w:tr>
    </w:tbl>
    <w:p w14:paraId="6C856F9A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12. Logging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5"/>
        <w:gridCol w:w="3431"/>
        <w:gridCol w:w="4153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7689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Level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E73E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Event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4E6E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49C6">
            <w:pPr>
              <w:spacing w:after="0"/>
            </w:pPr>
            <w:r>
              <w:rPr>
                <w:rFonts w:ascii="Calibri" w:hAnsi="Calibri"/>
                <w:sz w:val="21"/>
              </w:rPr>
              <w:t>Information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EEF7">
            <w:pPr>
              <w:spacing w:after="0"/>
            </w:pPr>
            <w:r>
              <w:rPr>
                <w:rFonts w:ascii="Calibri" w:hAnsi="Calibri"/>
                <w:sz w:val="21"/>
              </w:rPr>
              <w:t>Pattern analysis started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8279">
            <w:pPr>
              <w:spacing w:after="0"/>
            </w:pPr>
            <w:r>
              <w:rPr>
                <w:rFonts w:ascii="Calibri" w:hAnsi="Calibri"/>
                <w:sz w:val="21"/>
              </w:rPr>
              <w:t>Exchange, ticker, look-back.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6731">
            <w:pPr>
              <w:spacing w:after="0"/>
            </w:pPr>
            <w:r>
              <w:rPr>
                <w:rFonts w:ascii="Calibri" w:hAnsi="Calibri"/>
                <w:sz w:val="21"/>
              </w:rPr>
              <w:t>Information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E57E">
            <w:pPr>
              <w:spacing w:after="0"/>
            </w:pPr>
            <w:r>
              <w:rPr>
                <w:rFonts w:ascii="Calibri" w:hAnsi="Calibri"/>
                <w:sz w:val="21"/>
              </w:rPr>
              <w:t>Daily candles retrieved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C53F">
            <w:pPr>
              <w:spacing w:after="0"/>
            </w:pPr>
            <w:r>
              <w:rPr>
                <w:rFonts w:ascii="Calibri" w:hAnsi="Calibri"/>
                <w:sz w:val="21"/>
              </w:rPr>
              <w:t>Ticker, date range, count, timeframe.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7403">
            <w:pPr>
              <w:spacing w:after="0"/>
            </w:pPr>
            <w:r>
              <w:rPr>
                <w:rFonts w:ascii="Calibri" w:hAnsi="Calibri"/>
                <w:sz w:val="21"/>
              </w:rPr>
              <w:t>Debug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20D3">
            <w:pPr>
              <w:spacing w:after="0"/>
            </w:pPr>
            <w:r>
              <w:rPr>
                <w:rFonts w:ascii="Calibri" w:hAnsi="Calibri"/>
                <w:sz w:val="21"/>
              </w:rPr>
              <w:t>Swing candidates identified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727C">
            <w:pPr>
              <w:spacing w:after="0"/>
            </w:pPr>
            <w:r>
              <w:rPr>
                <w:rFonts w:ascii="Calibri" w:hAnsi="Calibri"/>
                <w:sz w:val="21"/>
              </w:rPr>
              <w:t>Swing kind, dates, prices.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46A8">
            <w:pPr>
              <w:spacing w:after="0"/>
            </w:pPr>
            <w:r>
              <w:rPr>
                <w:rFonts w:ascii="Calibri" w:hAnsi="Calibri"/>
                <w:sz w:val="21"/>
              </w:rPr>
              <w:t>Debug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6DAA">
            <w:pPr>
              <w:spacing w:after="0"/>
            </w:pPr>
            <w:r>
              <w:rPr>
                <w:rFonts w:ascii="Calibri" w:hAnsi="Calibri"/>
                <w:sz w:val="21"/>
              </w:rPr>
              <w:t>Pattern candidate evaluated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977D">
            <w:pPr>
              <w:spacing w:after="0"/>
            </w:pPr>
            <w:r>
              <w:rPr>
                <w:rFonts w:ascii="Calibri" w:hAnsi="Calibri"/>
                <w:sz w:val="21"/>
              </w:rPr>
              <w:t>Pattern type, swing values, condition outcomes.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6369">
            <w:pPr>
              <w:spacing w:after="0"/>
            </w:pPr>
            <w:r>
              <w:rPr>
                <w:rFonts w:ascii="Calibri" w:hAnsi="Calibri"/>
                <w:sz w:val="21"/>
              </w:rPr>
              <w:t>Debug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355A">
            <w:pPr>
              <w:spacing w:after="0"/>
            </w:pPr>
            <w:r>
              <w:rPr>
                <w:rFonts w:ascii="Calibri" w:hAnsi="Calibri"/>
                <w:sz w:val="21"/>
              </w:rPr>
              <w:t>Prior trend evaluated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89B4">
            <w:pPr>
              <w:spacing w:after="0"/>
            </w:pPr>
            <w:r>
              <w:rPr>
                <w:rFonts w:ascii="Calibri" w:hAnsi="Calibri"/>
                <w:sz w:val="21"/>
              </w:rPr>
              <w:t>Direction and confirmed rule diagnostics.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A5FC">
            <w:pPr>
              <w:spacing w:after="0"/>
            </w:pPr>
            <w:r>
              <w:rPr>
                <w:rFonts w:ascii="Calibri" w:hAnsi="Calibri"/>
                <w:sz w:val="21"/>
              </w:rPr>
              <w:t>Information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4679">
            <w:pPr>
              <w:spacing w:after="0"/>
            </w:pPr>
            <w:r>
              <w:rPr>
                <w:rFonts w:ascii="Calibri" w:hAnsi="Calibri"/>
                <w:sz w:val="21"/>
              </w:rPr>
              <w:t>Neckline constructed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723B">
            <w:pPr>
              <w:spacing w:after="0"/>
            </w:pPr>
            <w:r>
              <w:rPr>
                <w:rFonts w:ascii="Calibri" w:hAnsi="Calibri"/>
                <w:sz w:val="21"/>
              </w:rPr>
              <w:t>Pattern type and two defining points.</w:t>
            </w:r>
          </w:p>
        </w:tc>
      </w:tr>
      <w:tr w14:paraId="7D77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27F8">
            <w:pPr>
              <w:spacing w:after="0"/>
            </w:pPr>
            <w:r>
              <w:rPr>
                <w:rFonts w:ascii="Calibri" w:hAnsi="Calibri"/>
                <w:sz w:val="21"/>
              </w:rPr>
              <w:t>Information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FB41">
            <w:pPr>
              <w:spacing w:after="0"/>
            </w:pPr>
            <w:r>
              <w:rPr>
                <w:rFonts w:ascii="Calibri" w:hAnsi="Calibri"/>
                <w:sz w:val="21"/>
              </w:rPr>
              <w:t>Pattern detected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4F6D">
            <w:pPr>
              <w:spacing w:after="0"/>
            </w:pPr>
            <w:r>
              <w:rPr>
                <w:rFonts w:ascii="Calibri" w:hAnsi="Calibri"/>
                <w:sz w:val="21"/>
              </w:rPr>
              <w:t>Exchange, ticker, pattern, swing dates/prices.</w:t>
            </w:r>
          </w:p>
        </w:tc>
      </w:tr>
      <w:tr w14:paraId="35973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967C">
            <w:pPr>
              <w:spacing w:after="0"/>
            </w:pPr>
            <w:r>
              <w:rPr>
                <w:rFonts w:ascii="Calibri" w:hAnsi="Calibri"/>
                <w:sz w:val="21"/>
              </w:rPr>
              <w:t>Warning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B9B9">
            <w:pPr>
              <w:spacing w:after="0"/>
            </w:pPr>
            <w:r>
              <w:rPr>
                <w:rFonts w:ascii="Calibri" w:hAnsi="Calibri"/>
                <w:sz w:val="21"/>
              </w:rPr>
              <w:t>Insufficient candles or data unavailable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57DA">
            <w:pPr>
              <w:spacing w:after="0"/>
            </w:pPr>
            <w:r>
              <w:rPr>
                <w:rFonts w:ascii="Calibri" w:hAnsi="Calibri"/>
                <w:sz w:val="21"/>
              </w:rPr>
              <w:t>Exchange, ticker, candle count/reason.</w:t>
            </w:r>
          </w:p>
        </w:tc>
      </w:tr>
      <w:tr w14:paraId="05A8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7678">
            <w:pPr>
              <w:spacing w:after="0"/>
            </w:pPr>
            <w:r>
              <w:rPr>
                <w:rFonts w:ascii="Calibri" w:hAnsi="Calibri"/>
                <w:sz w:val="21"/>
              </w:rPr>
              <w:t>Error</w:t>
            </w:r>
          </w:p>
        </w:tc>
        <w:tc>
          <w:tcPr>
            <w:tcW w:w="34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AD2F">
            <w:pPr>
              <w:spacing w:after="0"/>
            </w:pPr>
            <w:r>
              <w:rPr>
                <w:rFonts w:ascii="Calibri" w:hAnsi="Calibri"/>
                <w:sz w:val="21"/>
              </w:rPr>
              <w:t>SQLite or unexpected failure</w:t>
            </w:r>
          </w:p>
        </w:tc>
        <w:tc>
          <w:tcPr>
            <w:tcW w:w="41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26F5">
            <w:pPr>
              <w:spacing w:after="0"/>
            </w:pPr>
            <w:r>
              <w:rPr>
                <w:rFonts w:ascii="Calibri" w:hAnsi="Calibri"/>
                <w:sz w:val="21"/>
              </w:rPr>
              <w:t>Exchange, ticker, exception details.</w:t>
            </w:r>
          </w:p>
        </w:tc>
      </w:tr>
    </w:tbl>
    <w:p w14:paraId="65D04B1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Avoid excessive per-candle information-level logs. Use debug logging for candidate and swing details.</w:t>
      </w:r>
    </w:p>
    <w:p w14:paraId="2885C70F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13. 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8"/>
        <w:gridCol w:w="1264"/>
        <w:gridCol w:w="5237"/>
      </w:tblGrid>
      <w:tr w14:paraId="2569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8CED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Scenario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5232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HTTP Status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A95A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Handling</w:t>
            </w:r>
          </w:p>
        </w:tc>
      </w:tr>
      <w:tr w14:paraId="6E61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D7B2">
            <w:pPr>
              <w:spacing w:after="0"/>
            </w:pPr>
            <w:r>
              <w:rPr>
                <w:rFonts w:ascii="Calibri" w:hAnsi="Calibri"/>
                <w:sz w:val="21"/>
              </w:rPr>
              <w:t>Invalid exchange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7DFF">
            <w:pPr>
              <w:spacing w:after="0"/>
            </w:pPr>
            <w:r>
              <w:rPr>
                <w:rFonts w:ascii="Calibri" w:hAnsi="Calibri"/>
                <w:sz w:val="21"/>
              </w:rPr>
              <w:t>400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B160">
            <w:pPr>
              <w:spacing w:after="0"/>
            </w:pPr>
            <w:r>
              <w:rPr>
                <w:rFonts w:ascii="Calibri" w:hAnsi="Calibri"/>
                <w:sz w:val="21"/>
              </w:rPr>
              <w:t>Return validation error using existing error schema.</w:t>
            </w:r>
          </w:p>
        </w:tc>
      </w:tr>
      <w:tr w14:paraId="0C371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8E61">
            <w:pPr>
              <w:spacing w:after="0"/>
            </w:pPr>
            <w:r>
              <w:rPr>
                <w:rFonts w:ascii="Calibri" w:hAnsi="Calibri"/>
                <w:sz w:val="21"/>
              </w:rPr>
              <w:t>Ticker not found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6252">
            <w:pPr>
              <w:spacing w:after="0"/>
            </w:pPr>
            <w:r>
              <w:rPr>
                <w:rFonts w:ascii="Calibri" w:hAnsi="Calibri"/>
                <w:sz w:val="21"/>
              </w:rPr>
              <w:t>404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8074">
            <w:pPr>
              <w:spacing w:after="0"/>
            </w:pPr>
            <w:r>
              <w:rPr>
                <w:rFonts w:ascii="Calibri" w:hAnsi="Calibri"/>
                <w:sz w:val="21"/>
              </w:rPr>
              <w:t>Return ticker-not-found response using existing conventions.</w:t>
            </w:r>
          </w:p>
        </w:tc>
      </w:tr>
      <w:tr w14:paraId="23A7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DF6C">
            <w:pPr>
              <w:spacing w:after="0"/>
            </w:pPr>
            <w:r>
              <w:rPr>
                <w:rFonts w:ascii="Calibri" w:hAnsi="Calibri"/>
                <w:sz w:val="21"/>
              </w:rPr>
              <w:t>Insufficient historical data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7741">
            <w:pPr>
              <w:spacing w:after="0"/>
            </w:pPr>
            <w:r>
              <w:rPr>
                <w:rFonts w:ascii="Calibri" w:hAnsi="Calibri"/>
                <w:sz w:val="21"/>
              </w:rPr>
              <w:t>200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F24F">
            <w:pPr>
              <w:spacing w:after="0"/>
            </w:pPr>
            <w:r>
              <w:rPr>
                <w:rFonts w:ascii="Calibri" w:hAnsi="Calibri"/>
                <w:sz w:val="21"/>
              </w:rPr>
              <w:t>Return isPatternDetected=false or the established data-status response.</w:t>
            </w:r>
          </w:p>
        </w:tc>
      </w:tr>
      <w:tr w14:paraId="5B6F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7AB6">
            <w:pPr>
              <w:spacing w:after="0"/>
            </w:pPr>
            <w:r>
              <w:rPr>
                <w:rFonts w:ascii="Calibri" w:hAnsi="Calibri"/>
                <w:sz w:val="21"/>
              </w:rPr>
              <w:t>No qualifying swing sequence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CB43">
            <w:pPr>
              <w:spacing w:after="0"/>
            </w:pPr>
            <w:r>
              <w:rPr>
                <w:rFonts w:ascii="Calibri" w:hAnsi="Calibri"/>
                <w:sz w:val="21"/>
              </w:rPr>
              <w:t>200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5C0E">
            <w:pPr>
              <w:spacing w:after="0"/>
            </w:pPr>
            <w:r>
              <w:rPr>
                <w:rFonts w:ascii="Calibri" w:hAnsi="Calibri"/>
                <w:sz w:val="21"/>
              </w:rPr>
              <w:t>Return isPatternDetected=false.</w:t>
            </w:r>
          </w:p>
        </w:tc>
      </w:tr>
      <w:tr w14:paraId="263C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F356">
            <w:pPr>
              <w:spacing w:after="0"/>
            </w:pPr>
            <w:r>
              <w:rPr>
                <w:rFonts w:ascii="Calibri" w:hAnsi="Calibri"/>
                <w:sz w:val="21"/>
              </w:rPr>
              <w:t>Pattern condition not satisfied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434F">
            <w:pPr>
              <w:spacing w:after="0"/>
            </w:pPr>
            <w:r>
              <w:rPr>
                <w:rFonts w:ascii="Calibri" w:hAnsi="Calibri"/>
                <w:sz w:val="21"/>
              </w:rPr>
              <w:t>200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6B20">
            <w:pPr>
              <w:spacing w:after="0"/>
            </w:pPr>
            <w:r>
              <w:rPr>
                <w:rFonts w:ascii="Calibri" w:hAnsi="Calibri"/>
                <w:sz w:val="21"/>
              </w:rPr>
              <w:t>Reject the candidate and continue evaluating other candidates.</w:t>
            </w:r>
          </w:p>
        </w:tc>
      </w:tr>
      <w:tr w14:paraId="2875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DA94">
            <w:pPr>
              <w:spacing w:after="0"/>
            </w:pPr>
            <w:r>
              <w:rPr>
                <w:rFonts w:ascii="Calibri" w:hAnsi="Calibri"/>
                <w:sz w:val="21"/>
              </w:rPr>
              <w:t>Prior trend unavailable or unconfirmed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1F09">
            <w:pPr>
              <w:spacing w:after="0"/>
            </w:pPr>
            <w:r>
              <w:rPr>
                <w:rFonts w:ascii="Calibri" w:hAnsi="Calibri"/>
                <w:sz w:val="21"/>
              </w:rPr>
              <w:t>200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F46B">
            <w:pPr>
              <w:spacing w:after="0"/>
            </w:pPr>
            <w:r>
              <w:rPr>
                <w:rFonts w:ascii="Calibri" w:hAnsi="Calibri"/>
                <w:sz w:val="21"/>
              </w:rPr>
              <w:t>Do not report a valid pattern; follow established data-status convention.</w:t>
            </w:r>
          </w:p>
        </w:tc>
      </w:tr>
      <w:tr w14:paraId="28E9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336F">
            <w:pPr>
              <w:spacing w:after="0"/>
            </w:pPr>
            <w:r>
              <w:rPr>
                <w:rFonts w:ascii="Calibri" w:hAnsi="Calibri"/>
                <w:sz w:val="21"/>
              </w:rPr>
              <w:t>Historical data unavailable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1FC4">
            <w:pPr>
              <w:spacing w:after="0"/>
            </w:pPr>
            <w:r>
              <w:rPr>
                <w:rFonts w:ascii="Calibri" w:hAnsi="Calibri"/>
                <w:sz w:val="21"/>
              </w:rPr>
              <w:t>404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BE73">
            <w:pPr>
              <w:spacing w:after="0"/>
            </w:pPr>
            <w:r>
              <w:rPr>
                <w:rFonts w:ascii="Calibri" w:hAnsi="Calibri"/>
                <w:sz w:val="21"/>
              </w:rPr>
              <w:t>Return data unavailable, consistent with existing API conventions.</w:t>
            </w:r>
          </w:p>
        </w:tc>
      </w:tr>
      <w:tr w14:paraId="0C60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E6F3">
            <w:pPr>
              <w:spacing w:after="0"/>
            </w:pPr>
            <w:r>
              <w:rPr>
                <w:rFonts w:ascii="Calibri" w:hAnsi="Calibri"/>
                <w:sz w:val="21"/>
              </w:rPr>
              <w:t>SQLite/database failure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2C53">
            <w:pPr>
              <w:spacing w:after="0"/>
            </w:pPr>
            <w:r>
              <w:rPr>
                <w:rFonts w:ascii="Calibri" w:hAnsi="Calibri"/>
                <w:sz w:val="21"/>
              </w:rPr>
              <w:t>500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6D3D">
            <w:pPr>
              <w:spacing w:after="0"/>
            </w:pPr>
            <w:r>
              <w:rPr>
                <w:rFonts w:ascii="Calibri" w:hAnsi="Calibri"/>
                <w:sz w:val="21"/>
              </w:rPr>
              <w:t>Log exception and return generic error without internal details.</w:t>
            </w:r>
          </w:p>
        </w:tc>
      </w:tr>
      <w:tr w14:paraId="14CD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0F93">
            <w:pPr>
              <w:spacing w:after="0"/>
            </w:pPr>
            <w:r>
              <w:rPr>
                <w:rFonts w:ascii="Calibri" w:hAnsi="Calibri"/>
                <w:sz w:val="21"/>
              </w:rPr>
              <w:t>Unexpected exception</w:t>
            </w:r>
          </w:p>
        </w:tc>
        <w:tc>
          <w:tcPr>
            <w:tcW w:w="1264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BBA1">
            <w:pPr>
              <w:spacing w:after="0"/>
            </w:pPr>
            <w:r>
              <w:rPr>
                <w:rFonts w:ascii="Calibri" w:hAnsi="Calibri"/>
                <w:sz w:val="21"/>
              </w:rPr>
              <w:t>500</w:t>
            </w:r>
          </w:p>
        </w:tc>
        <w:tc>
          <w:tcPr>
            <w:tcW w:w="5237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4743">
            <w:pPr>
              <w:spacing w:after="0"/>
            </w:pPr>
            <w:r>
              <w:rPr>
                <w:rFonts w:ascii="Calibri" w:hAnsi="Calibri"/>
                <w:sz w:val="21"/>
              </w:rPr>
              <w:t>Log exception and return generic error.</w:t>
            </w:r>
          </w:p>
        </w:tc>
      </w:tr>
    </w:tbl>
    <w:p w14:paraId="4B804DF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 w:eastAsiaTheme="minorEastAsia"/>
          <w:sz w:val="21"/>
          <w:szCs w:val="21"/>
        </w:rPr>
      </w:pPr>
      <w:r>
        <w:rPr>
          <w:rFonts w:hint="default" w:ascii="Calibri" w:hAnsi="Calibri" w:cs="Calibri" w:eastAsiaTheme="minorEastAsia"/>
          <w:sz w:val="21"/>
          <w:szCs w:val="21"/>
        </w:rPr>
        <w:t>Use the same error-response structure as existing MarketAlert APIs. Confirm whether insufficient data is represented as a false result or a distinct data-status response.</w:t>
      </w:r>
    </w:p>
    <w:p w14:paraId="4552DA17">
      <w:pPr>
        <w:pStyle w:val="4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14. Configuration and Decisions</w:t>
      </w:r>
    </w:p>
    <w:p w14:paraId="2316DED5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PatternLookbackMinCandles = 30</w:t>
      </w:r>
    </w:p>
    <w:p w14:paraId="144F336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PatternLookbackMaxCandles = 90</w:t>
      </w:r>
    </w:p>
    <w:p w14:paraId="7E635496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Lookback selection within the range = To be confirmed</w:t>
      </w:r>
    </w:p>
    <w:p w14:paraId="5D7B7BCD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Major Swing High/Low method = To be confirmed</w:t>
      </w:r>
    </w:p>
    <w:p w14:paraId="5B626716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Prior Uptrend/Downtrend formulas = To be confirmed</w:t>
      </w:r>
    </w:p>
    <w:p w14:paraId="5D30A0FC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Inter-swing candle distance rule = Not specified</w:t>
      </w:r>
    </w:p>
    <w:p w14:paraId="3503999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Neckline breakout required = Not specified; not mandatory under supplied rules</w:t>
      </w:r>
    </w:p>
    <w:p w14:paraId="515462D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Multiple-pattern response policy = To be confirmed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8CE77B4"/>
    <w:rsid w:val="0A54530F"/>
    <w:rsid w:val="0A750537"/>
    <w:rsid w:val="11254AAD"/>
    <w:rsid w:val="142200CF"/>
    <w:rsid w:val="17A032FB"/>
    <w:rsid w:val="1A5E42D0"/>
    <w:rsid w:val="1C1E4649"/>
    <w:rsid w:val="1D3A1DA5"/>
    <w:rsid w:val="1DA16CEF"/>
    <w:rsid w:val="206E4B8B"/>
    <w:rsid w:val="213A6FA5"/>
    <w:rsid w:val="2406762A"/>
    <w:rsid w:val="29C1221E"/>
    <w:rsid w:val="2D5A1875"/>
    <w:rsid w:val="30D72E30"/>
    <w:rsid w:val="32FA1831"/>
    <w:rsid w:val="341F5D90"/>
    <w:rsid w:val="35BE7DBB"/>
    <w:rsid w:val="370757D3"/>
    <w:rsid w:val="38A46CD0"/>
    <w:rsid w:val="402C0554"/>
    <w:rsid w:val="411452A8"/>
    <w:rsid w:val="432050AF"/>
    <w:rsid w:val="4A09304E"/>
    <w:rsid w:val="4CEC4311"/>
    <w:rsid w:val="50434BD4"/>
    <w:rsid w:val="509B32CD"/>
    <w:rsid w:val="50FA53DC"/>
    <w:rsid w:val="5114461E"/>
    <w:rsid w:val="57B317F1"/>
    <w:rsid w:val="622540F5"/>
    <w:rsid w:val="71EA5622"/>
    <w:rsid w:val="749E4DE3"/>
    <w:rsid w:val="75614B20"/>
    <w:rsid w:val="783B524E"/>
    <w:rsid w:val="7CC443BD"/>
    <w:rsid w:val="7DF4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2118</Words>
  <Characters>12494</Characters>
  <Lines>19</Lines>
  <Paragraphs>5</Paragraphs>
  <TotalTime>8</TotalTime>
  <ScaleCrop>false</ScaleCrop>
  <LinksUpToDate>false</LinksUpToDate>
  <CharactersWithSpaces>14774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2026-10-13T15:01:38Z</dcterms:modified>
  <dc:subject>API specification following the supplied Triangle Breakout document template</dc:subject>
  <dc:title>Head &amp; Shoulders Pattern Alert API Specification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