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40975F">
      <w:pPr>
        <w:pStyle w:val="3"/>
        <w:jc w:val="center"/>
      </w:pPr>
      <w:r>
        <w:rPr>
          <w:b/>
          <w:bCs/>
        </w:rPr>
        <w:t>Short Covering Alert Market Level</w:t>
      </w:r>
    </w:p>
    <w:p w14:paraId="5BFBE968">
      <w:pPr>
        <w:pStyle w:val="4"/>
        <w:numPr>
          <w:numId w:val="0"/>
        </w:numPr>
        <w:rPr>
          <w:rFonts w:hint="default"/>
          <w:lang w:val="en-US"/>
        </w:rPr>
      </w:pPr>
      <w:r>
        <w:rPr>
          <w:rFonts w:hint="default"/>
          <w:lang w:val="en-US"/>
        </w:rPr>
        <w:t>1. API Definition</w:t>
      </w:r>
    </w:p>
    <w:p w14:paraId="61ECB478">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Identifies a possible market-level Short Covering condition for a selected index futures group, such as Nifty or Bank Nifty. The supplied signal definition is: futures price up AND combined open interest (OI) down, with an alert when SC % crosses a configured threshold.</w:t>
      </w:r>
    </w:p>
    <w:p w14:paraId="4C5AFFB0">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The request describes two evaluation modes: a live check every 15 minutes and a daily EOD check. The 15-minute value is the Live data evaluation cadence only. Do not create or use 15-minute candle bars. Historical inputs use daily EOD candles; live evaluation uses current live price and OI snapshots.</w:t>
      </w:r>
    </w:p>
    <w:p w14:paraId="5F14E0FC">
      <w:pPr>
        <w:pStyle w:val="4"/>
        <w:numPr>
          <w:numId w:val="0"/>
        </w:numPr>
        <w:rPr>
          <w:rFonts w:hint="default"/>
          <w:lang w:val="en-US"/>
        </w:rPr>
      </w:pPr>
      <w:r>
        <w:rPr>
          <w:rFonts w:hint="default"/>
          <w:lang w:val="en-US"/>
        </w:rPr>
        <w:t>Core Signal Conditions</w:t>
      </w:r>
    </w:p>
    <w:p w14:paraId="7C40A1EE">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Futures Price is up</w:t>
      </w:r>
    </w:p>
    <w:p w14:paraId="736BE165">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AND Combined OI is down</w:t>
      </w:r>
    </w:p>
    <w:p w14:paraId="29731575">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AND SC % crosses the configured threshold</w:t>
      </w:r>
    </w:p>
    <w:p w14:paraId="52E89A45">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The supplied rule does not define the price comparison reference, the combined OI contract universe, the SC % formula, the threshold value, or exact crossing/equality semantics. These must be confirmed before implementation. Do not substitute invented formulas or values.</w:t>
      </w:r>
    </w:p>
    <w:p w14:paraId="65B2AA60">
      <w:pPr>
        <w:pStyle w:val="4"/>
        <w:numPr>
          <w:numId w:val="0"/>
        </w:numPr>
        <w:rPr>
          <w:rFonts w:hint="default"/>
          <w:lang w:val="en-US"/>
        </w:rPr>
      </w:pPr>
      <w:r>
        <w:rPr>
          <w:rFonts w:hint="default"/>
          <w:lang w:val="en-US"/>
        </w:rPr>
        <w:t>2. Request</w:t>
      </w:r>
    </w:p>
    <w:p w14:paraId="2A90CA13">
      <w:pPr>
        <w:pStyle w:val="4"/>
        <w:bidi w:val="0"/>
        <w:rPr>
          <w:rFonts w:hint="default" w:ascii="Calibri" w:hAnsi="Calibri" w:cs="Calibri" w:eastAsiaTheme="minorEastAsia"/>
          <w:szCs w:val="21"/>
        </w:rPr>
      </w:pPr>
      <w:r>
        <w:rPr>
          <w:rFonts w:hint="default"/>
        </w:rPr>
        <w:t>2.1 Endpoints</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25"/>
        <w:gridCol w:w="7404"/>
      </w:tblGrid>
      <w:tr w14:paraId="00B12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blHeader/>
        </w:trPr>
        <w:tc>
          <w:tcPr>
            <w:tcW w:w="1625"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7D3434E3">
            <w:pPr>
              <w:spacing w:after="0"/>
            </w:pPr>
            <w:r>
              <w:rPr>
                <w:rFonts w:ascii="Calibri" w:hAnsi="Calibri"/>
                <w:b/>
                <w:sz w:val="21"/>
              </w:rPr>
              <w:t>Method</w:t>
            </w:r>
          </w:p>
        </w:tc>
        <w:tc>
          <w:tcPr>
            <w:tcW w:w="7404"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4CFB458C">
            <w:pPr>
              <w:spacing w:after="0"/>
            </w:pPr>
            <w:r>
              <w:rPr>
                <w:rFonts w:ascii="Calibri" w:hAnsi="Calibri"/>
                <w:b/>
                <w:sz w:val="21"/>
              </w:rPr>
              <w:t>Endpoint</w:t>
            </w:r>
          </w:p>
        </w:tc>
      </w:tr>
      <w:tr w14:paraId="31126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5745CD3">
            <w:pPr>
              <w:spacing w:after="0"/>
            </w:pPr>
            <w:r>
              <w:rPr>
                <w:rFonts w:ascii="Calibri" w:hAnsi="Calibri"/>
                <w:sz w:val="21"/>
              </w:rPr>
              <w:t>GET</w:t>
            </w:r>
          </w:p>
        </w:tc>
        <w:tc>
          <w:tcPr>
            <w:tcW w:w="74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ABD101D">
            <w:pPr>
              <w:spacing w:after="0"/>
            </w:pPr>
            <w:r>
              <w:rPr>
                <w:rFonts w:ascii="Calibri" w:hAnsi="Calibri"/>
                <w:sz w:val="21"/>
              </w:rPr>
              <w:t>/api/eodanalytics/TechnicalScreeners/ShortCoveringAlert/{exchange}/{groupName?}</w:t>
            </w:r>
          </w:p>
        </w:tc>
      </w:tr>
      <w:tr w14:paraId="49EA0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0023EBC">
            <w:pPr>
              <w:spacing w:after="0"/>
            </w:pPr>
            <w:r>
              <w:rPr>
                <w:rFonts w:ascii="Calibri" w:hAnsi="Calibri"/>
                <w:sz w:val="21"/>
              </w:rPr>
              <w:t>GET</w:t>
            </w:r>
          </w:p>
        </w:tc>
        <w:tc>
          <w:tcPr>
            <w:tcW w:w="74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297D6EF">
            <w:pPr>
              <w:spacing w:after="0"/>
            </w:pPr>
            <w:r>
              <w:rPr>
                <w:rFonts w:ascii="Calibri" w:hAnsi="Calibri"/>
                <w:sz w:val="21"/>
              </w:rPr>
              <w:t>/api/eodanalytics/TechnicalScreenersLive/ShortCoveringAlert/{exchange}/{groupName?}</w:t>
            </w:r>
          </w:p>
        </w:tc>
      </w:tr>
    </w:tbl>
    <w:p w14:paraId="5CB97708">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These paired routes follow the existing TechnicalScreeners and TechnicalScreenersLive pattern under the /api/eodanalytics route group. The EOD route evaluates completed daily data. The Live route evaluates current data snapshots and may return provisional results.</w:t>
      </w:r>
    </w:p>
    <w:p w14:paraId="67F8A9A5">
      <w:pPr>
        <w:pStyle w:val="4"/>
        <w:numPr>
          <w:numId w:val="0"/>
        </w:numPr>
        <w:rPr>
          <w:rFonts w:hint="default"/>
          <w:lang w:val="en-US"/>
        </w:rPr>
      </w:pPr>
      <w:r>
        <w:rPr>
          <w:rFonts w:hint="default"/>
          <w:lang w:val="en-US"/>
        </w:rPr>
        <w:t>Path Parameters</w:t>
      </w:r>
    </w:p>
    <w:tbl>
      <w:tblPr>
        <w:tblStyle w:val="12"/>
        <w:tblW w:w="92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25"/>
        <w:gridCol w:w="1445"/>
        <w:gridCol w:w="5959"/>
      </w:tblGrid>
      <w:tr w14:paraId="1D09E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25"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4331D553">
            <w:pPr>
              <w:spacing w:after="0"/>
            </w:pPr>
            <w:r>
              <w:rPr>
                <w:rFonts w:ascii="Calibri" w:hAnsi="Calibri"/>
                <w:b/>
                <w:sz w:val="21"/>
              </w:rPr>
              <w:t>Parameter</w:t>
            </w:r>
          </w:p>
        </w:tc>
        <w:tc>
          <w:tcPr>
            <w:tcW w:w="1445"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36412926">
            <w:pPr>
              <w:spacing w:after="0"/>
            </w:pPr>
            <w:r>
              <w:rPr>
                <w:rFonts w:ascii="Calibri" w:hAnsi="Calibri"/>
                <w:b/>
                <w:sz w:val="21"/>
              </w:rPr>
              <w:t>Required</w:t>
            </w:r>
          </w:p>
        </w:tc>
        <w:tc>
          <w:tcPr>
            <w:tcW w:w="5959"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3198EED9">
            <w:pPr>
              <w:spacing w:after="0"/>
            </w:pPr>
            <w:r>
              <w:rPr>
                <w:rFonts w:ascii="Calibri" w:hAnsi="Calibri"/>
                <w:b/>
                <w:sz w:val="21"/>
              </w:rPr>
              <w:t>Description</w:t>
            </w:r>
          </w:p>
        </w:tc>
      </w:tr>
      <w:tr w14:paraId="67B69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B2B0578">
            <w:pPr>
              <w:spacing w:after="0"/>
            </w:pPr>
            <w:r>
              <w:rPr>
                <w:rFonts w:ascii="Calibri" w:hAnsi="Calibri"/>
                <w:sz w:val="21"/>
              </w:rPr>
              <w:t>exchange</w:t>
            </w:r>
          </w:p>
        </w:tc>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D3AB26F">
            <w:pPr>
              <w:spacing w:after="0"/>
            </w:pPr>
            <w:r>
              <w:rPr>
                <w:rFonts w:ascii="Calibri" w:hAnsi="Calibri"/>
                <w:sz w:val="21"/>
              </w:rPr>
              <w:t>Yes</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18DC1C8">
            <w:pPr>
              <w:spacing w:after="0"/>
            </w:pPr>
            <w:r>
              <w:rPr>
                <w:rFonts w:ascii="Calibri" w:hAnsi="Calibri"/>
                <w:sz w:val="21"/>
              </w:rPr>
              <w:t>Exchange to evaluate, such as NSE or BSE.</w:t>
            </w:r>
          </w:p>
        </w:tc>
      </w:tr>
      <w:tr w14:paraId="7B2B9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8F65600">
            <w:pPr>
              <w:spacing w:after="0"/>
            </w:pPr>
            <w:r>
              <w:rPr>
                <w:rFonts w:ascii="Calibri" w:hAnsi="Calibri"/>
                <w:sz w:val="21"/>
              </w:rPr>
              <w:t>groupName</w:t>
            </w:r>
          </w:p>
        </w:tc>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E334E46">
            <w:pPr>
              <w:spacing w:after="0"/>
            </w:pPr>
            <w:r>
              <w:rPr>
                <w:rFonts w:ascii="Calibri" w:hAnsi="Calibri"/>
                <w:sz w:val="21"/>
              </w:rPr>
              <w:t>No</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1E34524">
            <w:pPr>
              <w:spacing w:after="0"/>
            </w:pPr>
            <w:r>
              <w:rPr>
                <w:rFonts w:ascii="Calibri" w:hAnsi="Calibri"/>
                <w:sz w:val="21"/>
              </w:rPr>
              <w:t>Optional group filter following existing TechnicalScreeners route conventions; use configured Nifty/Bank Nifty futures group mapping.</w:t>
            </w:r>
          </w:p>
        </w:tc>
      </w:tr>
    </w:tbl>
    <w:p w14:paraId="7EF66FA9">
      <w:pPr>
        <w:pStyle w:val="4"/>
        <w:bidi w:val="0"/>
        <w:rPr>
          <w:rFonts w:hint="default" w:ascii="Calibri" w:hAnsi="Calibri" w:cs="Calibri" w:eastAsiaTheme="minorEastAsia"/>
          <w:szCs w:val="21"/>
        </w:rPr>
      </w:pPr>
      <w:r>
        <w:rPr>
          <w:rFonts w:hint="default"/>
        </w:rPr>
        <w:t>2.2 Evaluation Cadence</w:t>
      </w:r>
    </w:p>
    <w:p w14:paraId="29686C9B">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b/>
          <w:bCs/>
          <w:sz w:val="21"/>
          <w:szCs w:val="21"/>
        </w:rPr>
        <w:t>Live endpoint:</w:t>
      </w:r>
      <w:r>
        <w:rPr>
          <w:rFonts w:hint="default" w:ascii="Calibri" w:hAnsi="Calibri" w:cs="Calibri" w:eastAsiaTheme="minorEastAsia"/>
          <w:sz w:val="21"/>
          <w:szCs w:val="21"/>
        </w:rPr>
        <w:t xml:space="preserve"> evaluate current live futures price and OI snapshots on a 15-minute schedule during configured market-open periods. This is polling/snapshot cadence, not a 15-minute candle timeframe.</w:t>
      </w:r>
    </w:p>
    <w:p w14:paraId="38E86B0E">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b/>
          <w:bCs/>
          <w:sz w:val="21"/>
          <w:szCs w:val="21"/>
        </w:rPr>
        <w:t>EOD endpoint:</w:t>
      </w:r>
      <w:r>
        <w:rPr>
          <w:rFonts w:hint="default" w:ascii="Calibri" w:hAnsi="Calibri" w:cs="Calibri" w:eastAsiaTheme="minorEastAsia"/>
          <w:sz w:val="21"/>
          <w:szCs w:val="21"/>
        </w:rPr>
        <w:t xml:space="preserve"> evaluate the latest completed daily observation after the EOD price and OI data are available.</w:t>
      </w:r>
    </w:p>
    <w:p w14:paraId="20717368">
      <w:pPr>
        <w:pStyle w:val="4"/>
        <w:numPr>
          <w:numId w:val="0"/>
        </w:numPr>
        <w:rPr>
          <w:rFonts w:hint="default"/>
          <w:lang w:val="en-US"/>
        </w:rPr>
      </w:pPr>
      <w:r>
        <w:rPr>
          <w:rFonts w:hint="default"/>
          <w:lang w:val="en-US"/>
        </w:rPr>
        <w:t>3. Response</w:t>
      </w:r>
    </w:p>
    <w:p w14:paraId="273BE39B">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Return the selected index/futures group, current and comparison price/OI values, SC % and configured threshold when available, evaluation mode, and alert state. The schema below is suggested and should align with existing TechnicalScreeners response conventions.</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86"/>
        <w:gridCol w:w="1354"/>
        <w:gridCol w:w="5688"/>
      </w:tblGrid>
      <w:tr w14:paraId="5181A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86"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664943E6">
            <w:pPr>
              <w:spacing w:after="0"/>
            </w:pPr>
            <w:r>
              <w:rPr>
                <w:rFonts w:ascii="Calibri" w:hAnsi="Calibri"/>
                <w:b/>
                <w:sz w:val="21"/>
              </w:rPr>
              <w:t>Field</w:t>
            </w:r>
          </w:p>
        </w:tc>
        <w:tc>
          <w:tcPr>
            <w:tcW w:w="1354"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7D8F5937">
            <w:pPr>
              <w:spacing w:after="0"/>
            </w:pPr>
            <w:r>
              <w:rPr>
                <w:rFonts w:ascii="Calibri" w:hAnsi="Calibri"/>
                <w:b/>
                <w:sz w:val="21"/>
              </w:rPr>
              <w:t>Type</w:t>
            </w:r>
          </w:p>
        </w:tc>
        <w:tc>
          <w:tcPr>
            <w:tcW w:w="5688"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07EF1D2D">
            <w:pPr>
              <w:spacing w:after="0"/>
            </w:pPr>
            <w:r>
              <w:rPr>
                <w:rFonts w:ascii="Calibri" w:hAnsi="Calibri"/>
                <w:b/>
                <w:sz w:val="21"/>
              </w:rPr>
              <w:t>Description</w:t>
            </w:r>
          </w:p>
        </w:tc>
      </w:tr>
      <w:tr w14:paraId="43068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1FDD968">
            <w:pPr>
              <w:spacing w:after="0"/>
            </w:pPr>
            <w:r>
              <w:rPr>
                <w:rFonts w:ascii="Calibri" w:hAnsi="Calibri"/>
                <w:sz w:val="21"/>
              </w:rPr>
              <w:t>timeStamp</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FA10543">
            <w:pPr>
              <w:spacing w:after="0"/>
            </w:pPr>
            <w:r>
              <w:rPr>
                <w:rFonts w:ascii="Calibri" w:hAnsi="Calibri"/>
                <w:sz w:val="21"/>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734E8F5">
            <w:pPr>
              <w:spacing w:after="0"/>
            </w:pPr>
            <w:r>
              <w:rPr>
                <w:rFonts w:ascii="Calibri" w:hAnsi="Calibri"/>
                <w:sz w:val="21"/>
              </w:rPr>
              <w:t>Evaluation timestamp.</w:t>
            </w:r>
          </w:p>
        </w:tc>
      </w:tr>
      <w:tr w14:paraId="4B63D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D37BA37">
            <w:pPr>
              <w:spacing w:after="0"/>
            </w:pPr>
            <w:r>
              <w:rPr>
                <w:rFonts w:ascii="Calibri" w:hAnsi="Calibri"/>
                <w:sz w:val="21"/>
              </w:rPr>
              <w:t>exchange</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E17B0C4">
            <w:pPr>
              <w:spacing w:after="0"/>
            </w:pPr>
            <w:r>
              <w:rPr>
                <w:rFonts w:ascii="Calibri" w:hAnsi="Calibri"/>
                <w:sz w:val="21"/>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58065F4">
            <w:pPr>
              <w:spacing w:after="0"/>
            </w:pPr>
            <w:r>
              <w:rPr>
                <w:rFonts w:ascii="Calibri" w:hAnsi="Calibri"/>
                <w:sz w:val="21"/>
              </w:rPr>
              <w:t>Exchange requested.</w:t>
            </w:r>
          </w:p>
        </w:tc>
      </w:tr>
      <w:tr w14:paraId="518D5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981A2DE">
            <w:pPr>
              <w:spacing w:after="0"/>
            </w:pPr>
            <w:r>
              <w:rPr>
                <w:rFonts w:ascii="Calibri" w:hAnsi="Calibri"/>
                <w:sz w:val="21"/>
              </w:rPr>
              <w:t>indexName</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FAE8F35">
            <w:pPr>
              <w:spacing w:after="0"/>
            </w:pPr>
            <w:r>
              <w:rPr>
                <w:rFonts w:ascii="Calibri" w:hAnsi="Calibri"/>
                <w:sz w:val="21"/>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C5D2CB3">
            <w:pPr>
              <w:spacing w:after="0"/>
            </w:pPr>
            <w:r>
              <w:rPr>
                <w:rFonts w:ascii="Calibri" w:hAnsi="Calibri"/>
                <w:sz w:val="21"/>
              </w:rPr>
              <w:t>Nifty, Bank Nifty, or configured index group.</w:t>
            </w:r>
          </w:p>
        </w:tc>
      </w:tr>
      <w:tr w14:paraId="418B5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9C4DF2A">
            <w:pPr>
              <w:spacing w:after="0"/>
            </w:pPr>
            <w:r>
              <w:rPr>
                <w:rFonts w:ascii="Calibri" w:hAnsi="Calibri"/>
                <w:sz w:val="21"/>
              </w:rPr>
              <w:t>groupName</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9241D9A">
            <w:pPr>
              <w:spacing w:after="0"/>
            </w:pPr>
            <w:r>
              <w:rPr>
                <w:rFonts w:ascii="Calibri" w:hAnsi="Calibri"/>
                <w:sz w:val="21"/>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96B4A4B">
            <w:pPr>
              <w:spacing w:after="0"/>
            </w:pPr>
            <w:r>
              <w:rPr>
                <w:rFonts w:ascii="Calibri" w:hAnsi="Calibri"/>
                <w:sz w:val="21"/>
              </w:rPr>
              <w:t>Configured futures group, if applicable.</w:t>
            </w:r>
          </w:p>
        </w:tc>
      </w:tr>
      <w:tr w14:paraId="628FD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67C8612">
            <w:pPr>
              <w:spacing w:after="0"/>
            </w:pPr>
            <w:r>
              <w:rPr>
                <w:rFonts w:ascii="Calibri" w:hAnsi="Calibri"/>
                <w:sz w:val="21"/>
              </w:rPr>
              <w:t>pattern</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452E275">
            <w:pPr>
              <w:spacing w:after="0"/>
            </w:pPr>
            <w:r>
              <w:rPr>
                <w:rFonts w:ascii="Calibri" w:hAnsi="Calibri"/>
                <w:sz w:val="21"/>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EC7430D">
            <w:pPr>
              <w:spacing w:after="0"/>
            </w:pPr>
            <w:r>
              <w:rPr>
                <w:rFonts w:ascii="Calibri" w:hAnsi="Calibri"/>
                <w:sz w:val="21"/>
              </w:rPr>
              <w:t>ShortCoveringAlert.</w:t>
            </w:r>
          </w:p>
        </w:tc>
      </w:tr>
      <w:tr w14:paraId="686E5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16A0E6B">
            <w:pPr>
              <w:spacing w:after="0"/>
            </w:pPr>
            <w:r>
              <w:rPr>
                <w:rFonts w:ascii="Calibri" w:hAnsi="Calibri"/>
                <w:sz w:val="21"/>
              </w:rPr>
              <w:t>isAlertDetected</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D04EAD8">
            <w:pPr>
              <w:spacing w:after="0"/>
            </w:pPr>
            <w:r>
              <w:rPr>
                <w:rFonts w:ascii="Calibri" w:hAnsi="Calibri"/>
                <w:sz w:val="21"/>
              </w:rPr>
              <w:t>bool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59CD577">
            <w:pPr>
              <w:spacing w:after="0"/>
            </w:pPr>
            <w:r>
              <w:rPr>
                <w:rFonts w:ascii="Calibri" w:hAnsi="Calibri"/>
                <w:sz w:val="21"/>
              </w:rPr>
              <w:t>Whether all confirmed signal conditions are satisfied.</w:t>
            </w:r>
          </w:p>
        </w:tc>
      </w:tr>
      <w:tr w14:paraId="2226F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8F92116">
            <w:pPr>
              <w:spacing w:after="0"/>
            </w:pPr>
            <w:r>
              <w:rPr>
                <w:rFonts w:ascii="Calibri" w:hAnsi="Calibri"/>
                <w:sz w:val="21"/>
              </w:rPr>
              <w:t>evaluationMode</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7EB083C">
            <w:pPr>
              <w:spacing w:after="0"/>
            </w:pPr>
            <w:r>
              <w:rPr>
                <w:rFonts w:ascii="Calibri" w:hAnsi="Calibri"/>
                <w:sz w:val="21"/>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C45125D">
            <w:pPr>
              <w:spacing w:after="0"/>
            </w:pPr>
            <w:r>
              <w:rPr>
                <w:rFonts w:ascii="Calibri" w:hAnsi="Calibri"/>
                <w:sz w:val="21"/>
              </w:rPr>
              <w:t>Live or EOD.</w:t>
            </w:r>
          </w:p>
        </w:tc>
      </w:tr>
      <w:tr w14:paraId="0F2EE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8222AB4">
            <w:pPr>
              <w:spacing w:after="0"/>
            </w:pPr>
            <w:r>
              <w:rPr>
                <w:rFonts w:ascii="Calibri" w:hAnsi="Calibri"/>
                <w:sz w:val="21"/>
              </w:rPr>
              <w:t>evaluationStatus</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16CC672">
            <w:pPr>
              <w:spacing w:after="0"/>
            </w:pPr>
            <w:r>
              <w:rPr>
                <w:rFonts w:ascii="Calibri" w:hAnsi="Calibri"/>
                <w:sz w:val="21"/>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B7B88B7">
            <w:pPr>
              <w:spacing w:after="0"/>
            </w:pPr>
            <w:r>
              <w:rPr>
                <w:rFonts w:ascii="Calibri" w:hAnsi="Calibri"/>
                <w:sz w:val="21"/>
              </w:rPr>
              <w:t>Evaluated, threshold_not_configured, or unavailable, per final API convention.</w:t>
            </w:r>
          </w:p>
        </w:tc>
      </w:tr>
      <w:tr w14:paraId="2C234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4DB753F">
            <w:pPr>
              <w:spacing w:after="0"/>
            </w:pPr>
            <w:r>
              <w:rPr>
                <w:rFonts w:ascii="Calibri" w:hAnsi="Calibri"/>
                <w:sz w:val="21"/>
              </w:rPr>
              <w:t>isProvisional</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221AA35">
            <w:pPr>
              <w:spacing w:after="0"/>
            </w:pPr>
            <w:r>
              <w:rPr>
                <w:rFonts w:ascii="Calibri" w:hAnsi="Calibri"/>
                <w:sz w:val="21"/>
              </w:rPr>
              <w:t>bool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E9D84CD">
            <w:pPr>
              <w:spacing w:after="0"/>
            </w:pPr>
            <w:r>
              <w:rPr>
                <w:rFonts w:ascii="Calibri" w:hAnsi="Calibri"/>
                <w:sz w:val="21"/>
              </w:rPr>
              <w:t>True for live snapshot result before EOD confirmation.</w:t>
            </w:r>
          </w:p>
        </w:tc>
      </w:tr>
      <w:tr w14:paraId="7B034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329193E">
            <w:pPr>
              <w:spacing w:after="0"/>
            </w:pPr>
            <w:r>
              <w:rPr>
                <w:rFonts w:ascii="Calibri" w:hAnsi="Calibri"/>
                <w:sz w:val="21"/>
              </w:rPr>
              <w:t>currentPrice</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7F22BC6">
            <w:pPr>
              <w:spacing w:after="0"/>
            </w:pPr>
            <w:r>
              <w:rPr>
                <w:rFonts w:ascii="Calibri" w:hAnsi="Calibri"/>
                <w:sz w:val="21"/>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19116BE">
            <w:pPr>
              <w:spacing w:after="0"/>
            </w:pPr>
            <w:r>
              <w:rPr>
                <w:rFonts w:ascii="Calibri" w:hAnsi="Calibri"/>
                <w:sz w:val="21"/>
              </w:rPr>
              <w:t>Latest live price or current daily close used for evaluation.</w:t>
            </w:r>
          </w:p>
        </w:tc>
      </w:tr>
      <w:tr w14:paraId="0D9EE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09217B8">
            <w:pPr>
              <w:spacing w:after="0"/>
            </w:pPr>
            <w:r>
              <w:rPr>
                <w:rFonts w:ascii="Calibri" w:hAnsi="Calibri"/>
                <w:sz w:val="21"/>
              </w:rPr>
              <w:t>comparisonPrice</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5000B33">
            <w:pPr>
              <w:spacing w:after="0"/>
            </w:pPr>
            <w:r>
              <w:rPr>
                <w:rFonts w:ascii="Calibri" w:hAnsi="Calibri"/>
                <w:sz w:val="21"/>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03206A1">
            <w:pPr>
              <w:spacing w:after="0"/>
            </w:pPr>
            <w:r>
              <w:rPr>
                <w:rFonts w:ascii="Calibri" w:hAnsi="Calibri"/>
                <w:sz w:val="21"/>
              </w:rPr>
              <w:t>Prior live snapshot price or prior daily close used for comparison.</w:t>
            </w:r>
          </w:p>
        </w:tc>
      </w:tr>
      <w:tr w14:paraId="75AA5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05C2CBE">
            <w:pPr>
              <w:spacing w:after="0"/>
            </w:pPr>
            <w:r>
              <w:rPr>
                <w:rFonts w:ascii="Calibri" w:hAnsi="Calibri"/>
                <w:sz w:val="21"/>
              </w:rPr>
              <w:t>currentCombinedOI</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8783AA5">
            <w:pPr>
              <w:spacing w:after="0"/>
            </w:pPr>
            <w:r>
              <w:rPr>
                <w:rFonts w:ascii="Calibri" w:hAnsi="Calibri"/>
                <w:sz w:val="21"/>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31F9C74">
            <w:pPr>
              <w:spacing w:after="0"/>
            </w:pPr>
            <w:r>
              <w:rPr>
                <w:rFonts w:ascii="Calibri" w:hAnsi="Calibri"/>
                <w:sz w:val="21"/>
              </w:rPr>
              <w:t>Combined OI for the configured futures contract set at t.</w:t>
            </w:r>
          </w:p>
        </w:tc>
      </w:tr>
      <w:tr w14:paraId="15E79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A34D8B8">
            <w:pPr>
              <w:spacing w:after="0"/>
            </w:pPr>
            <w:r>
              <w:rPr>
                <w:rFonts w:ascii="Calibri" w:hAnsi="Calibri"/>
                <w:sz w:val="21"/>
              </w:rPr>
              <w:t>comparisonCombinedOI</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3B5156B">
            <w:pPr>
              <w:spacing w:after="0"/>
            </w:pPr>
            <w:r>
              <w:rPr>
                <w:rFonts w:ascii="Calibri" w:hAnsi="Calibri"/>
                <w:sz w:val="21"/>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61EDDD5">
            <w:pPr>
              <w:spacing w:after="0"/>
            </w:pPr>
            <w:r>
              <w:rPr>
                <w:rFonts w:ascii="Calibri" w:hAnsi="Calibri"/>
                <w:sz w:val="21"/>
              </w:rPr>
              <w:t>Combined OI for the same contract set at the comparison observation.</w:t>
            </w:r>
          </w:p>
        </w:tc>
      </w:tr>
      <w:tr w14:paraId="250BC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81A7DF8">
            <w:pPr>
              <w:spacing w:after="0"/>
            </w:pPr>
            <w:r>
              <w:rPr>
                <w:rFonts w:ascii="Calibri" w:hAnsi="Calibri"/>
                <w:sz w:val="21"/>
              </w:rPr>
              <w:t>scPercent</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7ABDF1B">
            <w:pPr>
              <w:spacing w:after="0"/>
            </w:pPr>
            <w:r>
              <w:rPr>
                <w:rFonts w:ascii="Calibri" w:hAnsi="Calibri"/>
                <w:sz w:val="21"/>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9648B5D">
            <w:pPr>
              <w:spacing w:after="0"/>
            </w:pPr>
            <w:r>
              <w:rPr>
                <w:rFonts w:ascii="Calibri" w:hAnsi="Calibri"/>
                <w:sz w:val="21"/>
              </w:rPr>
              <w:t>Short-covering percentage using the formula confirmed by the product owner.</w:t>
            </w:r>
          </w:p>
        </w:tc>
      </w:tr>
      <w:tr w14:paraId="37947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B7715B9">
            <w:pPr>
              <w:spacing w:after="0"/>
            </w:pPr>
            <w:r>
              <w:rPr>
                <w:rFonts w:ascii="Calibri" w:hAnsi="Calibri"/>
                <w:sz w:val="21"/>
              </w:rPr>
              <w:t>scPercentThreshold</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DE97B3D">
            <w:pPr>
              <w:spacing w:after="0"/>
            </w:pPr>
            <w:r>
              <w:rPr>
                <w:rFonts w:ascii="Calibri" w:hAnsi="Calibri"/>
                <w:sz w:val="21"/>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1B536BD">
            <w:pPr>
              <w:spacing w:after="0"/>
            </w:pPr>
            <w:r>
              <w:rPr>
                <w:rFonts w:ascii="Calibri" w:hAnsi="Calibri"/>
                <w:sz w:val="21"/>
              </w:rPr>
              <w:t>Configured threshold; null until supplied/configured.</w:t>
            </w:r>
          </w:p>
        </w:tc>
      </w:tr>
      <w:tr w14:paraId="70723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C61777C">
            <w:pPr>
              <w:spacing w:after="0"/>
            </w:pPr>
            <w:r>
              <w:rPr>
                <w:rFonts w:ascii="Calibri" w:hAnsi="Calibri"/>
                <w:sz w:val="21"/>
              </w:rPr>
              <w:t>observedAt</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77B985D">
            <w:pPr>
              <w:spacing w:after="0"/>
            </w:pPr>
            <w:r>
              <w:rPr>
                <w:rFonts w:ascii="Calibri" w:hAnsi="Calibri"/>
                <w:sz w:val="21"/>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D1D8D4D">
            <w:pPr>
              <w:spacing w:after="0"/>
            </w:pPr>
            <w:r>
              <w:rPr>
                <w:rFonts w:ascii="Calibri" w:hAnsi="Calibri"/>
                <w:sz w:val="21"/>
              </w:rPr>
              <w:t>Timestamp/date of the current observation.</w:t>
            </w:r>
          </w:p>
        </w:tc>
      </w:tr>
      <w:tr w14:paraId="1CFBE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07952D3">
            <w:pPr>
              <w:spacing w:after="0"/>
            </w:pPr>
            <w:r>
              <w:rPr>
                <w:rFonts w:ascii="Calibri" w:hAnsi="Calibri"/>
                <w:sz w:val="21"/>
              </w:rPr>
              <w:t>comparisonAt</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20CAF84">
            <w:pPr>
              <w:spacing w:after="0"/>
            </w:pPr>
            <w:r>
              <w:rPr>
                <w:rFonts w:ascii="Calibri" w:hAnsi="Calibri"/>
                <w:sz w:val="21"/>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792410B">
            <w:pPr>
              <w:spacing w:after="0"/>
            </w:pPr>
            <w:r>
              <w:rPr>
                <w:rFonts w:ascii="Calibri" w:hAnsi="Calibri"/>
                <w:sz w:val="21"/>
              </w:rPr>
              <w:t>Timestamp/date of the comparison observation.</w:t>
            </w:r>
          </w:p>
        </w:tc>
      </w:tr>
    </w:tbl>
    <w:p w14:paraId="72147588">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Illustrative JSON — configuration incomplete</w:t>
      </w:r>
    </w:p>
    <w:p w14:paraId="74B6A789">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w:t>
      </w:r>
    </w:p>
    <w:p w14:paraId="563D5B87">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"timeStamp": "2026-09-24T12:30:00",</w:t>
      </w:r>
    </w:p>
    <w:p w14:paraId="2A8B170E">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"exchange": "NSE",</w:t>
      </w:r>
    </w:p>
    <w:p w14:paraId="6FC03C32">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r>
        <w:rPr>
          <w:rFonts w:hint="default" w:ascii="Consolas" w:hAnsi="Consolas" w:eastAsia="Consolas" w:cs="Consolas"/>
          <w:sz w:val="17"/>
          <w:szCs w:val="17"/>
          <w:lang w:val="en-AU"/>
        </w:rPr>
        <w:t>ltd</w:t>
      </w:r>
      <w:r>
        <w:rPr>
          <w:rFonts w:hint="default" w:ascii="Consolas" w:hAnsi="Consolas" w:eastAsia="Consolas" w:cs="Consolas"/>
          <w:sz w:val="17"/>
          <w:szCs w:val="17"/>
        </w:rPr>
        <w:t>": "",</w:t>
      </w:r>
    </w:p>
    <w:p w14:paraId="19C3FCBC">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"data": [</w:t>
      </w:r>
    </w:p>
    <w:p w14:paraId="045C7AAF">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4DC6C1A0">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"indexName": "Nifty",</w:t>
      </w:r>
    </w:p>
    <w:p w14:paraId="32B424BA">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"groupName": "Nifty Futures",</w:t>
      </w:r>
    </w:p>
    <w:p w14:paraId="65250612">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"pattern": "ShortCoveringAlert",</w:t>
      </w:r>
    </w:p>
    <w:p w14:paraId="11E47E50">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"isAlertDetected": false,</w:t>
      </w:r>
    </w:p>
    <w:p w14:paraId="7658B7BC">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"evaluationMode": "Live",</w:t>
      </w:r>
    </w:p>
    <w:p w14:paraId="315A2048">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"evaluationStatus": "threshold_not_configured",</w:t>
      </w:r>
    </w:p>
    <w:p w14:paraId="76B20A85">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"isProvisional": true,</w:t>
      </w:r>
    </w:p>
    <w:p w14:paraId="4F3D060C">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"currentPrice": null,</w:t>
      </w:r>
    </w:p>
    <w:p w14:paraId="4940FF4E">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"comparisonPrice": null,</w:t>
      </w:r>
    </w:p>
    <w:p w14:paraId="113EFE0C">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"currentCombinedOI": null,</w:t>
      </w:r>
    </w:p>
    <w:p w14:paraId="10E3FB5B">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"comparisonCombinedOI": null,</w:t>
      </w:r>
    </w:p>
    <w:p w14:paraId="35E5BB7F">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"scPercent": null,</w:t>
      </w:r>
    </w:p>
    <w:p w14:paraId="6F6DF2C0">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"scPercentThreshold": null,</w:t>
      </w:r>
    </w:p>
    <w:p w14:paraId="0335AB47">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"observedAt": "2026-09-24T12:30:00",</w:t>
      </w:r>
    </w:p>
    <w:p w14:paraId="42A7DC25">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"comparisonAt": null</w:t>
      </w:r>
    </w:p>
    <w:p w14:paraId="6B54EBEA">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09680CB4">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78275F53">
      <w:pPr>
        <w:pBdr>
          <w:left w:val="single" w:color="9CA3AF" w:sz="12" w:space="6"/>
        </w:pBdr>
        <w:shd w:val="clear" w:color="auto" w:fill="F3F4F6"/>
        <w:spacing w:after="160" w:line="260" w:lineRule="auto"/>
        <w:ind w:left="120" w:right="120"/>
        <w:rPr>
          <w:rFonts w:hint="default" w:ascii="Calibri" w:hAnsi="Calibri" w:cs="Calibri" w:eastAsiaTheme="minorEastAsia"/>
          <w:sz w:val="21"/>
          <w:szCs w:val="21"/>
        </w:rPr>
      </w:pPr>
      <w:r>
        <w:rPr>
          <w:rFonts w:hint="default" w:ascii="Consolas" w:hAnsi="Consolas" w:eastAsia="Consolas" w:cs="Consolas"/>
          <w:sz w:val="17"/>
          <w:szCs w:val="17"/>
          <w:lang w:val="en-AU"/>
        </w:rPr>
        <w:t>}</w:t>
      </w:r>
    </w:p>
    <w:p w14:paraId="45F633F9">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The sample leaves unresolved values null; it does not define a detection threshold or SC % formula.</w:t>
      </w:r>
    </w:p>
    <w:p w14:paraId="3108555A">
      <w:pPr>
        <w:pStyle w:val="4"/>
        <w:numPr>
          <w:numId w:val="0"/>
        </w:numPr>
        <w:rPr>
          <w:rFonts w:hint="default"/>
          <w:lang w:val="en-US"/>
        </w:rPr>
      </w:pPr>
      <w:r>
        <w:rPr>
          <w:rFonts w:hint="default"/>
          <w:lang w:val="en-US"/>
        </w:rPr>
        <w:t>4. Data Required and Data Sources</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77"/>
        <w:gridCol w:w="3612"/>
        <w:gridCol w:w="3341"/>
      </w:tblGrid>
      <w:tr w14:paraId="168F7B5B">
        <w:tblPrEx>
          <w:tblCellMar>
            <w:top w:w="0" w:type="dxa"/>
            <w:left w:w="10" w:type="dxa"/>
            <w:bottom w:w="0" w:type="dxa"/>
            <w:right w:w="10" w:type="dxa"/>
          </w:tblCellMar>
        </w:tblPrEx>
        <w:trPr>
          <w:tblHeader/>
        </w:trPr>
        <w:tc>
          <w:tcPr>
            <w:tcW w:w="2077"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4977D0C7">
            <w:pPr>
              <w:spacing w:after="0"/>
            </w:pPr>
            <w:r>
              <w:rPr>
                <w:rFonts w:ascii="Calibri" w:hAnsi="Calibri"/>
                <w:b/>
                <w:sz w:val="21"/>
              </w:rPr>
              <w:t>Data</w:t>
            </w:r>
          </w:p>
        </w:tc>
        <w:tc>
          <w:tcPr>
            <w:tcW w:w="3612"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1EC07250">
            <w:pPr>
              <w:spacing w:after="0"/>
            </w:pPr>
            <w:r>
              <w:rPr>
                <w:rFonts w:ascii="Calibri" w:hAnsi="Calibri"/>
                <w:b/>
                <w:sz w:val="21"/>
              </w:rPr>
              <w:t>Source</w:t>
            </w:r>
          </w:p>
        </w:tc>
        <w:tc>
          <w:tcPr>
            <w:tcW w:w="3341"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68FDAF9F">
            <w:pPr>
              <w:spacing w:after="0"/>
            </w:pPr>
            <w:r>
              <w:rPr>
                <w:rFonts w:ascii="Calibri" w:hAnsi="Calibri"/>
                <w:b/>
                <w:sz w:val="21"/>
              </w:rPr>
              <w:t>Purpose</w:t>
            </w:r>
          </w:p>
        </w:tc>
      </w:tr>
      <w:tr w14:paraId="4AB67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7D6B17F">
            <w:pPr>
              <w:spacing w:after="0"/>
              <w:rPr>
                <w:sz w:val="18"/>
                <w:szCs w:val="18"/>
              </w:rPr>
            </w:pPr>
            <w:r>
              <w:rPr>
                <w:rFonts w:ascii="Calibri" w:hAnsi="Calibri"/>
                <w:sz w:val="18"/>
                <w:szCs w:val="18"/>
              </w:rPr>
              <w:t>Index/Security Master</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45B8B86">
            <w:pPr>
              <w:spacing w:after="0"/>
              <w:rPr>
                <w:sz w:val="18"/>
                <w:szCs w:val="18"/>
              </w:rPr>
            </w:pPr>
            <w:r>
              <w:rPr>
                <w:rFonts w:ascii="Calibri" w:hAnsi="Calibri"/>
                <w:sz w:val="18"/>
                <w:szCs w:val="18"/>
              </w:rPr>
              <w:t>ChartPatternSqliteService.GetSecurityMasterAsync / masterdetail</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C79561E">
            <w:pPr>
              <w:spacing w:after="0"/>
              <w:rPr>
                <w:sz w:val="18"/>
                <w:szCs w:val="18"/>
              </w:rPr>
            </w:pPr>
            <w:r>
              <w:rPr>
                <w:rFonts w:ascii="Calibri" w:hAnsi="Calibri"/>
                <w:sz w:val="18"/>
                <w:szCs w:val="18"/>
              </w:rPr>
              <w:t>Resolve exchange, index, futures symbols, and tokens.</w:t>
            </w:r>
          </w:p>
        </w:tc>
      </w:tr>
      <w:tr w14:paraId="75F05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4C6717E">
            <w:pPr>
              <w:spacing w:after="0"/>
              <w:rPr>
                <w:sz w:val="18"/>
                <w:szCs w:val="18"/>
              </w:rPr>
            </w:pPr>
            <w:r>
              <w:rPr>
                <w:rFonts w:ascii="Calibri" w:hAnsi="Calibri"/>
                <w:sz w:val="18"/>
                <w:szCs w:val="18"/>
              </w:rPr>
              <w:t>Historical daily price</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ED2DCBC">
            <w:pPr>
              <w:spacing w:after="0"/>
              <w:rPr>
                <w:sz w:val="18"/>
                <w:szCs w:val="18"/>
              </w:rPr>
            </w:pPr>
            <w:r>
              <w:rPr>
                <w:rFonts w:ascii="Calibri" w:hAnsi="Calibri"/>
                <w:sz w:val="18"/>
                <w:szCs w:val="18"/>
              </w:rPr>
              <w:t>SQLite historical bar table</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D0D6137">
            <w:pPr>
              <w:spacing w:after="0"/>
              <w:rPr>
                <w:sz w:val="18"/>
                <w:szCs w:val="18"/>
              </w:rPr>
            </w:pPr>
            <w:r>
              <w:rPr>
                <w:rFonts w:ascii="Calibri" w:hAnsi="Calibri"/>
                <w:sz w:val="18"/>
                <w:szCs w:val="18"/>
              </w:rPr>
              <w:t>Obtain completed daily futures close for EOD comparison.</w:t>
            </w:r>
          </w:p>
        </w:tc>
      </w:tr>
      <w:tr w14:paraId="6EBBC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E05D5B7">
            <w:pPr>
              <w:spacing w:after="0"/>
              <w:rPr>
                <w:sz w:val="18"/>
                <w:szCs w:val="18"/>
              </w:rPr>
            </w:pPr>
            <w:r>
              <w:rPr>
                <w:rFonts w:ascii="Calibri" w:hAnsi="Calibri"/>
                <w:sz w:val="18"/>
                <w:szCs w:val="18"/>
              </w:rPr>
              <w:t>Live futures price</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518F116">
            <w:pPr>
              <w:spacing w:after="0"/>
              <w:rPr>
                <w:sz w:val="18"/>
                <w:szCs w:val="18"/>
              </w:rPr>
            </w:pPr>
            <w:r>
              <w:rPr>
                <w:rFonts w:ascii="Calibri" w:hAnsi="Calibri"/>
                <w:sz w:val="18"/>
                <w:szCs w:val="18"/>
              </w:rPr>
              <w:t>Existing live market-data source</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756FD2A">
            <w:pPr>
              <w:spacing w:after="0"/>
              <w:rPr>
                <w:sz w:val="18"/>
                <w:szCs w:val="18"/>
              </w:rPr>
            </w:pPr>
            <w:r>
              <w:rPr>
                <w:rFonts w:ascii="Calibri" w:hAnsi="Calibri"/>
                <w:sz w:val="18"/>
                <w:szCs w:val="18"/>
              </w:rPr>
              <w:t>Obtain current live futures price for scheduled Live snapshots.</w:t>
            </w:r>
          </w:p>
        </w:tc>
      </w:tr>
      <w:tr w14:paraId="4C8FD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B0E811E">
            <w:pPr>
              <w:spacing w:after="0"/>
              <w:rPr>
                <w:sz w:val="18"/>
                <w:szCs w:val="18"/>
              </w:rPr>
            </w:pPr>
            <w:r>
              <w:rPr>
                <w:rFonts w:ascii="Calibri" w:hAnsi="Calibri"/>
                <w:sz w:val="18"/>
                <w:szCs w:val="18"/>
              </w:rPr>
              <w:t>Historical OI</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1143EEF">
            <w:pPr>
              <w:spacing w:after="0"/>
              <w:rPr>
                <w:sz w:val="18"/>
                <w:szCs w:val="18"/>
              </w:rPr>
            </w:pPr>
            <w:r>
              <w:rPr>
                <w:rFonts w:ascii="Calibri" w:hAnsi="Calibri"/>
                <w:sz w:val="18"/>
                <w:szCs w:val="18"/>
              </w:rPr>
              <w:t>Existing EOD derivatives/OI source</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1B5C66D">
            <w:pPr>
              <w:spacing w:after="0"/>
              <w:rPr>
                <w:sz w:val="18"/>
                <w:szCs w:val="18"/>
              </w:rPr>
            </w:pPr>
            <w:r>
              <w:rPr>
                <w:rFonts w:ascii="Calibri" w:hAnsi="Calibri"/>
                <w:sz w:val="18"/>
                <w:szCs w:val="18"/>
              </w:rPr>
              <w:t>Obtain daily OI values for the configured futures contract set.</w:t>
            </w:r>
          </w:p>
        </w:tc>
      </w:tr>
      <w:tr w14:paraId="748D6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6C42D59">
            <w:pPr>
              <w:spacing w:after="0"/>
              <w:rPr>
                <w:sz w:val="18"/>
                <w:szCs w:val="18"/>
              </w:rPr>
            </w:pPr>
            <w:r>
              <w:rPr>
                <w:rFonts w:ascii="Calibri" w:hAnsi="Calibri"/>
                <w:sz w:val="18"/>
                <w:szCs w:val="18"/>
              </w:rPr>
              <w:t>Live OI</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BF9ABA7">
            <w:pPr>
              <w:spacing w:after="0"/>
              <w:rPr>
                <w:sz w:val="18"/>
                <w:szCs w:val="18"/>
              </w:rPr>
            </w:pPr>
            <w:r>
              <w:rPr>
                <w:rFonts w:ascii="Calibri" w:hAnsi="Calibri"/>
                <w:sz w:val="18"/>
                <w:szCs w:val="18"/>
              </w:rPr>
              <w:t>Existing live derivatives/OI source</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D1C95E4">
            <w:pPr>
              <w:spacing w:after="0"/>
              <w:rPr>
                <w:sz w:val="18"/>
                <w:szCs w:val="18"/>
              </w:rPr>
            </w:pPr>
            <w:r>
              <w:rPr>
                <w:rFonts w:ascii="Calibri" w:hAnsi="Calibri"/>
                <w:sz w:val="18"/>
                <w:szCs w:val="18"/>
              </w:rPr>
              <w:t>Obtain current OI values for scheduled Live snapshots.</w:t>
            </w:r>
          </w:p>
        </w:tc>
      </w:tr>
      <w:tr w14:paraId="37D97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B553D24">
            <w:pPr>
              <w:spacing w:after="0"/>
              <w:rPr>
                <w:sz w:val="18"/>
                <w:szCs w:val="18"/>
              </w:rPr>
            </w:pPr>
            <w:r>
              <w:rPr>
                <w:rFonts w:ascii="Calibri" w:hAnsi="Calibri"/>
                <w:sz w:val="18"/>
                <w:szCs w:val="18"/>
              </w:rPr>
              <w:t>Contract/expiry mapping</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2173541">
            <w:pPr>
              <w:spacing w:after="0"/>
              <w:rPr>
                <w:sz w:val="18"/>
                <w:szCs w:val="18"/>
              </w:rPr>
            </w:pPr>
            <w:r>
              <w:rPr>
                <w:rFonts w:ascii="Calibri" w:hAnsi="Calibri"/>
                <w:sz w:val="18"/>
                <w:szCs w:val="18"/>
              </w:rPr>
              <w:t>Symbols or derivatives instrument master</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294A731">
            <w:pPr>
              <w:spacing w:after="0"/>
              <w:rPr>
                <w:sz w:val="18"/>
                <w:szCs w:val="18"/>
              </w:rPr>
            </w:pPr>
            <w:r>
              <w:rPr>
                <w:rFonts w:ascii="Calibri" w:hAnsi="Calibri"/>
                <w:sz w:val="18"/>
                <w:szCs w:val="18"/>
              </w:rPr>
              <w:t>Select the approved contracts and map them to Nifty/Bank Nifty.</w:t>
            </w:r>
          </w:p>
        </w:tc>
      </w:tr>
      <w:tr w14:paraId="63D54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A948D01">
            <w:pPr>
              <w:spacing w:after="0"/>
              <w:rPr>
                <w:sz w:val="18"/>
                <w:szCs w:val="18"/>
              </w:rPr>
            </w:pPr>
            <w:r>
              <w:rPr>
                <w:rFonts w:ascii="Calibri" w:hAnsi="Calibri"/>
                <w:sz w:val="18"/>
                <w:szCs w:val="18"/>
              </w:rPr>
              <w:t>Bars</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72025C7">
            <w:pPr>
              <w:spacing w:after="0"/>
              <w:rPr>
                <w:sz w:val="18"/>
                <w:szCs w:val="18"/>
              </w:rPr>
            </w:pPr>
            <w:r>
              <w:rPr>
                <w:rFonts w:ascii="Calibri" w:hAnsi="Calibri"/>
                <w:sz w:val="18"/>
                <w:szCs w:val="18"/>
              </w:rPr>
              <w:t>Bars table</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B554E6D">
            <w:pPr>
              <w:spacing w:after="0"/>
              <w:rPr>
                <w:sz w:val="18"/>
                <w:szCs w:val="18"/>
              </w:rPr>
            </w:pPr>
            <w:r>
              <w:rPr>
                <w:rFonts w:ascii="Calibri" w:hAnsi="Calibri"/>
                <w:sz w:val="18"/>
                <w:szCs w:val="18"/>
              </w:rPr>
              <w:t>Select Daily timeframe for historical price candles.</w:t>
            </w:r>
          </w:p>
        </w:tc>
      </w:tr>
      <w:tr w14:paraId="6220E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226A27E">
            <w:pPr>
              <w:spacing w:after="0"/>
              <w:rPr>
                <w:sz w:val="18"/>
                <w:szCs w:val="18"/>
              </w:rPr>
            </w:pPr>
            <w:r>
              <w:rPr>
                <w:rFonts w:ascii="Calibri" w:hAnsi="Calibri"/>
                <w:sz w:val="18"/>
                <w:szCs w:val="18"/>
              </w:rPr>
              <w:t>Dates</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E63B707">
            <w:pPr>
              <w:spacing w:after="0"/>
              <w:rPr>
                <w:sz w:val="18"/>
                <w:szCs w:val="18"/>
              </w:rPr>
            </w:pPr>
            <w:r>
              <w:rPr>
                <w:rFonts w:ascii="Calibri" w:hAnsi="Calibri"/>
                <w:sz w:val="18"/>
                <w:szCs w:val="18"/>
              </w:rPr>
              <w:t>Dates table</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31D3796">
            <w:pPr>
              <w:spacing w:after="0"/>
              <w:rPr>
                <w:sz w:val="18"/>
                <w:szCs w:val="18"/>
              </w:rPr>
            </w:pPr>
            <w:r>
              <w:rPr>
                <w:rFonts w:ascii="Calibri" w:hAnsi="Calibri"/>
                <w:sz w:val="18"/>
                <w:szCs w:val="18"/>
              </w:rPr>
              <w:t>Map trading dates and order EOD observations.</w:t>
            </w:r>
          </w:p>
        </w:tc>
      </w:tr>
      <w:tr w14:paraId="604B2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4D51A71">
            <w:pPr>
              <w:spacing w:after="0"/>
              <w:rPr>
                <w:sz w:val="18"/>
                <w:szCs w:val="18"/>
              </w:rPr>
            </w:pPr>
            <w:r>
              <w:rPr>
                <w:rFonts w:ascii="Calibri" w:hAnsi="Calibri"/>
                <w:sz w:val="18"/>
                <w:szCs w:val="18"/>
              </w:rPr>
              <w:t>Symbols</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AC292BB">
            <w:pPr>
              <w:spacing w:after="0"/>
              <w:rPr>
                <w:sz w:val="18"/>
                <w:szCs w:val="18"/>
              </w:rPr>
            </w:pPr>
            <w:r>
              <w:rPr>
                <w:rFonts w:ascii="Calibri" w:hAnsi="Calibri"/>
                <w:sz w:val="18"/>
                <w:szCs w:val="18"/>
              </w:rPr>
              <w:t>Symbols table</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5C09616">
            <w:pPr>
              <w:spacing w:after="0"/>
              <w:rPr>
                <w:sz w:val="18"/>
                <w:szCs w:val="18"/>
              </w:rPr>
            </w:pPr>
            <w:r>
              <w:rPr>
                <w:rFonts w:ascii="Calibri" w:hAnsi="Calibri"/>
                <w:sz w:val="18"/>
                <w:szCs w:val="18"/>
              </w:rPr>
              <w:t>Map symbol identifiers and exchange.</w:t>
            </w:r>
          </w:p>
        </w:tc>
      </w:tr>
      <w:tr w14:paraId="5D65F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6F8E54C">
            <w:pPr>
              <w:spacing w:after="0"/>
              <w:rPr>
                <w:sz w:val="18"/>
                <w:szCs w:val="18"/>
              </w:rPr>
            </w:pPr>
            <w:r>
              <w:rPr>
                <w:rFonts w:ascii="Calibri" w:hAnsi="Calibri"/>
                <w:sz w:val="18"/>
                <w:szCs w:val="18"/>
              </w:rPr>
              <w:t>Market timing configuration</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DEC18D7">
            <w:pPr>
              <w:spacing w:after="0"/>
              <w:rPr>
                <w:sz w:val="18"/>
                <w:szCs w:val="18"/>
              </w:rPr>
            </w:pPr>
            <w:r>
              <w:rPr>
                <w:rFonts w:ascii="Calibri" w:hAnsi="Calibri"/>
                <w:sz w:val="18"/>
                <w:szCs w:val="18"/>
              </w:rPr>
              <w:t>MarketTimingRepository / Market_State_Timings</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E65296E">
            <w:pPr>
              <w:spacing w:after="0"/>
              <w:rPr>
                <w:sz w:val="18"/>
                <w:szCs w:val="18"/>
              </w:rPr>
            </w:pPr>
            <w:r>
              <w:rPr>
                <w:rFonts w:ascii="Calibri" w:hAnsi="Calibri"/>
                <w:sz w:val="18"/>
                <w:szCs w:val="18"/>
              </w:rPr>
              <w:t>Gate Live checks using configured exchange/segment session status.</w:t>
            </w:r>
          </w:p>
        </w:tc>
      </w:tr>
    </w:tbl>
    <w:p w14:paraId="762ABF6D">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Follow existing SQLite and security-master conventions where applicable. The source code’s MarketTimingRepository reads Exchange, Segment, Status, StartTime, and EndTime from Market_State_Timings. Live gating should use IMarketStatusService.GetMarketStatusAsync(exchange, segment), not hard-coded market hours.</w:t>
      </w:r>
    </w:p>
    <w:p w14:paraId="7BB93A72">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The current market-status implementation uses host DateTime.Now and inclusive configured time ranges. The source code does not specify the exchange timezone or current configured timing rows; confirm runtime timezone alignment and resolve the applicable segment internally.</w:t>
      </w:r>
    </w:p>
    <w:p w14:paraId="751D2CFD">
      <w:pPr>
        <w:pStyle w:val="4"/>
        <w:numPr>
          <w:numId w:val="0"/>
        </w:numPr>
        <w:rPr>
          <w:rFonts w:hint="default"/>
          <w:lang w:val="en-US"/>
        </w:rPr>
      </w:pPr>
      <w:r>
        <w:rPr>
          <w:rFonts w:hint="default"/>
          <w:lang w:val="en-US"/>
        </w:rPr>
        <w:t>5. Historical Data and Timing Requirement</w:t>
      </w:r>
    </w:p>
    <w:p w14:paraId="769C8B3B">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Historical EOD evaluation needs daily price and OI observations for t and a prior comparison observation. The exact comparison depth for price and OI is not specified; the recommended initial comparison is t against the immediately preceding EOD observation, subject to confirmation.</w:t>
      </w:r>
    </w:p>
    <w:p w14:paraId="2DFDCDAB">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Live evaluation uses a sequence of live data snapshots scheduled every 15 minutes during configured OPEN status. Compare the latest snapshot with the prior scheduled snapshot unless a different reference is confirmed. These are point-in-time live values, not 15-minute candle bars.</w:t>
      </w:r>
    </w:p>
    <w:p w14:paraId="7CE7681E">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The 15-minute cadence may miss a brief threshold crossing between snapshots. If all crossings must be captured, the Live data event stream must detect threshold transitions continuously; this is a separate implementation choice to confirm.</w:t>
      </w:r>
    </w:p>
    <w:p w14:paraId="168AD528">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For the first observation in a session, a prior live snapshot may not exist. The fallback comparison reference (for example, prior EOD state) is not supplied and must be confirmed.</w:t>
      </w:r>
    </w:p>
    <w:p w14:paraId="220CF775">
      <w:pPr>
        <w:pStyle w:val="4"/>
        <w:numPr>
          <w:numId w:val="0"/>
        </w:numPr>
        <w:rPr>
          <w:rFonts w:hint="default"/>
          <w:lang w:val="en-US"/>
        </w:rPr>
      </w:pPr>
      <w:r>
        <w:rPr>
          <w:rFonts w:hint="default"/>
          <w:lang w:val="en-US"/>
        </w:rPr>
        <w:t>6. Computation Logic</w:t>
      </w:r>
    </w:p>
    <w:p w14:paraId="296054F4">
      <w:pPr>
        <w:pStyle w:val="4"/>
        <w:numPr>
          <w:numId w:val="0"/>
        </w:numPr>
        <w:rPr>
          <w:rFonts w:hint="default"/>
          <w:lang w:val="en-US"/>
        </w:rPr>
      </w:pPr>
      <w:r>
        <w:rPr>
          <w:rFonts w:hint="default"/>
          <w:lang w:val="en-US"/>
        </w:rPr>
        <w:t>6.1 Select Index Futures Group</w:t>
      </w:r>
    </w:p>
    <w:p w14:paraId="43A03A5D">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Resolve the requested Nifty or Bank Nifty group and its constituent futures contracts using the configured instrument mapping. The exact contracts, expiries, and whether combined OI is calculated separately per index or across a broader group must be confirmed.</w:t>
      </w:r>
    </w:p>
    <w:p w14:paraId="5B1B69DE">
      <w:pPr>
        <w:pStyle w:val="4"/>
        <w:numPr>
          <w:numId w:val="0"/>
        </w:numPr>
        <w:rPr>
          <w:rFonts w:hint="default"/>
          <w:lang w:val="en-US"/>
        </w:rPr>
      </w:pPr>
      <w:r>
        <w:rPr>
          <w:rFonts w:hint="default"/>
          <w:lang w:val="en-US"/>
        </w:rPr>
        <w:t>6.2 Compare Price</w:t>
      </w:r>
    </w:p>
    <w:p w14:paraId="11462D4F">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The signal requires futures price to be up. A practical comparison is current live price versus the previous live snapshot for Live mode, and current daily close versus previous daily close for EOD mode. This comparison basis is a recommendation and must be confirmed; no price reference is explicitly provided.</w:t>
      </w:r>
    </w:p>
    <w:p w14:paraId="5AB021C5">
      <w:pPr>
        <w:pStyle w:val="4"/>
        <w:numPr>
          <w:numId w:val="0"/>
        </w:numPr>
        <w:rPr>
          <w:rFonts w:hint="default"/>
          <w:lang w:val="en-US"/>
        </w:rPr>
      </w:pPr>
      <w:r>
        <w:rPr>
          <w:rFonts w:hint="default"/>
          <w:lang w:val="en-US"/>
        </w:rPr>
        <w:t>6.3 Compare Combined OI</w:t>
      </w:r>
    </w:p>
    <w:p w14:paraId="59297901">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The signal requires combined OI to be down over the same comparison interval. Sum OI only across the approved futures contract set and compare equivalent observations for t and the prior reference observation.</w:t>
      </w:r>
    </w:p>
    <w:p w14:paraId="1EF85F28">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The source requirements do not define whether OI is total open contracts, change in OI, contract-weighted, expiry-specific, or aggregated across all expiries. Confirm the definition and source field before implementation.</w:t>
      </w:r>
    </w:p>
    <w:p w14:paraId="3CDCABBC">
      <w:pPr>
        <w:pStyle w:val="4"/>
        <w:numPr>
          <w:numId w:val="0"/>
        </w:numPr>
        <w:rPr>
          <w:rFonts w:hint="default"/>
          <w:lang w:val="en-US"/>
        </w:rPr>
      </w:pPr>
      <w:r>
        <w:rPr>
          <w:rFonts w:hint="default"/>
          <w:lang w:val="en-US"/>
        </w:rPr>
        <w:t>6.4 Calculate SC % and Detect Threshold Crossing</w:t>
      </w:r>
    </w:p>
    <w:p w14:paraId="374B8AC6">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SC % is referenced but no calculation is supplied. The threshold value and crossing direction are also unspecified. Do not derive SC % from price/OI changes or set a default threshold without approval.</w:t>
      </w:r>
    </w:p>
    <w:p w14:paraId="1A5A686D">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After the formula and threshold are confirmed, define crossing using the current and previous SC % observations. Confirm whether the crossing is upward/above threshold and whether equality counts (&gt;= versus &gt;).</w:t>
      </w:r>
    </w:p>
    <w:p w14:paraId="34AE7928">
      <w:pPr>
        <w:pStyle w:val="4"/>
        <w:numPr>
          <w:numId w:val="0"/>
        </w:numPr>
        <w:rPr>
          <w:rFonts w:hint="default"/>
          <w:lang w:val="en-US"/>
        </w:rPr>
      </w:pPr>
      <w:r>
        <w:rPr>
          <w:rFonts w:hint="default"/>
          <w:lang w:val="en-US"/>
        </w:rPr>
        <w:t>6.5 EOD and Live Result Semantics</w:t>
      </w:r>
    </w:p>
    <w:p w14:paraId="49003651">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EOD results use completed daily price/OI observations and are final for that evaluation date, subject to data corrections.</w:t>
      </w:r>
    </w:p>
    <w:p w14:paraId="0E2693F5">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Live results use current price/OI snapshots, are provisional, and can change on subsequent updates. Use the project’s market timing service to gate scheduled checks when configured market status is OPEN.</w:t>
      </w:r>
    </w:p>
    <w:p w14:paraId="3F65F12D">
      <w:pPr>
        <w:pStyle w:val="4"/>
        <w:numPr>
          <w:numId w:val="0"/>
        </w:numPr>
        <w:rPr>
          <w:rFonts w:hint="default"/>
          <w:lang w:val="en-US"/>
        </w:rPr>
      </w:pPr>
      <w:r>
        <w:rPr>
          <w:rFonts w:hint="default"/>
          <w:lang w:val="en-US"/>
        </w:rPr>
        <w:t>7. Live Short Covering Detection</w:t>
      </w:r>
    </w:p>
    <w:p w14:paraId="6144085C">
      <w:pPr>
        <w:pStyle w:val="4"/>
        <w:numPr>
          <w:numId w:val="0"/>
        </w:numPr>
        <w:rPr>
          <w:rFonts w:hint="default"/>
          <w:lang w:val="en-US"/>
        </w:rPr>
      </w:pPr>
      <w:r>
        <w:rPr>
          <w:rFonts w:hint="default"/>
          <w:lang w:val="en-US"/>
        </w:rPr>
        <w:t>Step 1</w:t>
      </w:r>
    </w:p>
    <w:p w14:paraId="762626F1">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At each 15-minute evaluation time while market status is OPEN, load live price and OI snapshots for the configured index futures group.</w:t>
      </w:r>
    </w:p>
    <w:p w14:paraId="3541CA29">
      <w:pPr>
        <w:pStyle w:val="4"/>
        <w:numPr>
          <w:numId w:val="0"/>
        </w:numPr>
        <w:rPr>
          <w:rFonts w:hint="default"/>
          <w:lang w:val="en-US"/>
        </w:rPr>
      </w:pPr>
      <w:r>
        <w:rPr>
          <w:rFonts w:hint="default"/>
          <w:lang w:val="en-US"/>
        </w:rPr>
        <w:t>Step 2</w:t>
      </w:r>
    </w:p>
    <w:p w14:paraId="601AF732">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Compare current price and combined OI with the confirmed prior snapshot reference. Require price up and combined OI down.</w:t>
      </w:r>
    </w:p>
    <w:p w14:paraId="296C6C2C">
      <w:pPr>
        <w:pStyle w:val="4"/>
        <w:numPr>
          <w:numId w:val="0"/>
        </w:numPr>
        <w:rPr>
          <w:rFonts w:hint="default"/>
          <w:lang w:val="en-US"/>
        </w:rPr>
      </w:pPr>
      <w:r>
        <w:rPr>
          <w:rFonts w:hint="default"/>
          <w:lang w:val="en-US"/>
        </w:rPr>
        <w:t>Step 3</w:t>
      </w:r>
    </w:p>
    <w:p w14:paraId="49635494">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Calculate SC % only after its formula and threshold are configured; detect a crossing using the confirmed comparison semantics.</w:t>
      </w:r>
    </w:p>
    <w:p w14:paraId="0BFEF309">
      <w:pPr>
        <w:pStyle w:val="4"/>
        <w:numPr>
          <w:numId w:val="0"/>
        </w:numPr>
        <w:rPr>
          <w:rFonts w:hint="default"/>
          <w:lang w:val="en-US"/>
        </w:rPr>
      </w:pPr>
      <w:r>
        <w:rPr>
          <w:rFonts w:hint="default"/>
          <w:lang w:val="en-US"/>
        </w:rPr>
        <w:t>Result</w:t>
      </w:r>
    </w:p>
    <w:p w14:paraId="0292C92E">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Return a provisional Live alert only when all confirmed conditions are true. Do not generate a final alert from an unconfigured threshold or missing SC % formula.</w:t>
      </w:r>
    </w:p>
    <w:p w14:paraId="1FFC2650">
      <w:pPr>
        <w:pStyle w:val="4"/>
        <w:numPr>
          <w:numId w:val="0"/>
        </w:numPr>
        <w:rPr>
          <w:rFonts w:hint="default"/>
          <w:lang w:val="en-US"/>
        </w:rPr>
      </w:pPr>
      <w:r>
        <w:rPr>
          <w:rFonts w:hint="default"/>
          <w:lang w:val="en-US"/>
        </w:rPr>
        <w:t>8. EOD Short Covering Detection</w:t>
      </w:r>
    </w:p>
    <w:p w14:paraId="3836F24A">
      <w:pPr>
        <w:pStyle w:val="4"/>
        <w:numPr>
          <w:numId w:val="0"/>
        </w:numPr>
        <w:rPr>
          <w:rFonts w:hint="default"/>
          <w:lang w:val="en-US"/>
        </w:rPr>
      </w:pPr>
      <w:r>
        <w:rPr>
          <w:rFonts w:hint="default"/>
          <w:lang w:val="en-US"/>
        </w:rPr>
        <w:t>Step 1</w:t>
      </w:r>
    </w:p>
    <w:p w14:paraId="308A2D8D">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Load the latest completed daily futures price and EOD OI for the selected group, plus the agreed prior daily comparison observation.</w:t>
      </w:r>
    </w:p>
    <w:p w14:paraId="3B52771F">
      <w:pPr>
        <w:pStyle w:val="4"/>
        <w:numPr>
          <w:numId w:val="0"/>
        </w:numPr>
        <w:rPr>
          <w:rFonts w:hint="default"/>
          <w:lang w:val="en-US"/>
        </w:rPr>
      </w:pPr>
      <w:r>
        <w:rPr>
          <w:rFonts w:hint="default"/>
          <w:lang w:val="en-US"/>
        </w:rPr>
        <w:t>Step 2</w:t>
      </w:r>
    </w:p>
    <w:p w14:paraId="38777226">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Evaluate the confirmed price-up and combined-OI-down conditions.</w:t>
      </w:r>
    </w:p>
    <w:p w14:paraId="09B7C02F">
      <w:pPr>
        <w:pStyle w:val="4"/>
        <w:numPr>
          <w:numId w:val="0"/>
        </w:numPr>
        <w:rPr>
          <w:rFonts w:hint="default"/>
          <w:lang w:val="en-US"/>
        </w:rPr>
      </w:pPr>
      <w:r>
        <w:rPr>
          <w:rFonts w:hint="default"/>
          <w:lang w:val="en-US"/>
        </w:rPr>
        <w:t>Step 3</w:t>
      </w:r>
    </w:p>
    <w:p w14:paraId="28FFE20F">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Calculate SC % and apply the configured crossing threshold once its definition is approved.</w:t>
      </w:r>
    </w:p>
    <w:p w14:paraId="271DD2B0">
      <w:pPr>
        <w:pStyle w:val="4"/>
        <w:numPr>
          <w:numId w:val="0"/>
        </w:numPr>
        <w:rPr>
          <w:rFonts w:hint="default"/>
          <w:lang w:val="en-US"/>
        </w:rPr>
      </w:pPr>
      <w:r>
        <w:rPr>
          <w:rFonts w:hint="default"/>
          <w:lang w:val="en-US"/>
        </w:rPr>
        <w:t>Result</w:t>
      </w:r>
    </w:p>
    <w:p w14:paraId="51ADCC40">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Return an EOD alert when all confirmed conditions are met. EOD uses daily history and does not use 15-minute candles.</w:t>
      </w:r>
    </w:p>
    <w:p w14:paraId="1814131C">
      <w:pPr>
        <w:pStyle w:val="4"/>
        <w:numPr>
          <w:numId w:val="0"/>
        </w:numPr>
        <w:rPr>
          <w:rFonts w:hint="default"/>
          <w:lang w:val="en-US"/>
        </w:rPr>
      </w:pPr>
      <w:r>
        <w:rPr>
          <w:rFonts w:hint="default"/>
          <w:lang w:val="en-US"/>
        </w:rPr>
        <w:t>9. Complete Detection Logic</w:t>
      </w:r>
    </w:p>
    <w:p w14:paraId="6FD63F35">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The supplied common signal requirement is:</w:t>
      </w:r>
    </w:p>
    <w:p w14:paraId="174ED953">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Price[t] &gt; Price[comparison]</w:t>
      </w:r>
    </w:p>
    <w:p w14:paraId="5BC861DE">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AND CombinedOI[t] &lt; CombinedOI[comparison]</w:t>
      </w:r>
    </w:p>
    <w:p w14:paraId="363430DA">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AND SCPercent crosses configured threshold</w:t>
      </w:r>
    </w:p>
    <w:p w14:paraId="3BEEB6F7">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The first two comparisons require a confirmed reference observation. The SC % formula, threshold, crossing direction, equality behavior, and OI contract universe remain decisions to confirm; until finalized, the full detector cannot be implemented without assumptions.</w:t>
      </w:r>
    </w:p>
    <w:p w14:paraId="42F4C2FC">
      <w:pPr>
        <w:pStyle w:val="4"/>
        <w:numPr>
          <w:numId w:val="0"/>
        </w:numPr>
        <w:rPr>
          <w:rFonts w:hint="default"/>
          <w:lang w:val="en-US"/>
        </w:rPr>
      </w:pPr>
      <w:r>
        <w:rPr>
          <w:rFonts w:hint="default"/>
          <w:lang w:val="en-US"/>
        </w:rPr>
        <w:t>10. Processing Flow</w:t>
      </w:r>
    </w:p>
    <w:p w14:paraId="3BAE3428">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Request</w:t>
      </w:r>
    </w:p>
    <w:p w14:paraId="51DE7C56">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2AFC88EB">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 Exchange</w:t>
      </w:r>
    </w:p>
    <w:p w14:paraId="78683CCD">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 Optional groupName (Nifty / Bank Nifty futures group)</w:t>
      </w:r>
    </w:p>
    <w:p w14:paraId="6E02579C">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 TechnicalScreeners or TechnicalScreenersLive</w:t>
      </w:r>
    </w:p>
    <w:p w14:paraId="00C7CC5B">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6B49B7E3">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536F75C0">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Resolve index futures contracts and market segment</w:t>
      </w:r>
    </w:p>
    <w:p w14:paraId="4194D0C2">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33E779BF">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0FF3F540">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EOD: load daily price/OI history</w:t>
      </w:r>
    </w:p>
    <w:p w14:paraId="500AFF76">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Live: check configured market status and load live snapshot</w:t>
      </w:r>
    </w:p>
    <w:p w14:paraId="5409342B">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31508200">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7D732CD7">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Compare price up and combined OI down</w:t>
      </w:r>
    </w:p>
    <w:p w14:paraId="1145D87B">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4BCA0586">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452F4435">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Calculate configured SC % and test crossing threshold</w:t>
      </w:r>
    </w:p>
    <w:p w14:paraId="23494BF1">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2B86D7F4">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014B6E53">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Return EOD result or provisional Live result</w:t>
      </w:r>
    </w:p>
    <w:p w14:paraId="7D686D02">
      <w:pPr>
        <w:pStyle w:val="4"/>
        <w:numPr>
          <w:numId w:val="0"/>
        </w:numPr>
        <w:rPr>
          <w:rFonts w:hint="default"/>
          <w:lang w:val="en-US"/>
        </w:rPr>
      </w:pPr>
      <w:r>
        <w:rPr>
          <w:rFonts w:hint="default"/>
          <w:lang w:val="en-US"/>
        </w:rPr>
        <w:t>11. Edge Cases</w:t>
      </w:r>
    </w:p>
    <w:tbl>
      <w:tblPr>
        <w:tblStyle w:val="12"/>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70"/>
        <w:gridCol w:w="5959"/>
      </w:tblGrid>
      <w:tr w14:paraId="3F59F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70"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16A96A4C">
            <w:pPr>
              <w:spacing w:after="0"/>
            </w:pPr>
            <w:r>
              <w:rPr>
                <w:rFonts w:ascii="Calibri" w:hAnsi="Calibri"/>
                <w:b/>
                <w:sz w:val="21"/>
              </w:rPr>
              <w:t>Scenario</w:t>
            </w:r>
          </w:p>
        </w:tc>
        <w:tc>
          <w:tcPr>
            <w:tcW w:w="5959"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648135DE">
            <w:pPr>
              <w:spacing w:after="0"/>
            </w:pPr>
            <w:r>
              <w:rPr>
                <w:rFonts w:ascii="Calibri" w:hAnsi="Calibri"/>
                <w:b/>
                <w:sz w:val="21"/>
              </w:rPr>
              <w:t>Expected Behavior</w:t>
            </w:r>
          </w:p>
        </w:tc>
      </w:tr>
      <w:tr w14:paraId="0FDD9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8050293">
            <w:pPr>
              <w:spacing w:after="0"/>
              <w:rPr>
                <w:sz w:val="18"/>
                <w:szCs w:val="18"/>
              </w:rPr>
            </w:pPr>
            <w:r>
              <w:rPr>
                <w:rFonts w:ascii="Calibri" w:hAnsi="Calibri"/>
                <w:sz w:val="18"/>
                <w:szCs w:val="18"/>
              </w:rPr>
              <w:t>SC % formula or threshold not configured</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BEF68C5">
            <w:pPr>
              <w:spacing w:after="0"/>
              <w:rPr>
                <w:sz w:val="18"/>
                <w:szCs w:val="18"/>
              </w:rPr>
            </w:pPr>
            <w:r>
              <w:rPr>
                <w:rFonts w:ascii="Calibri" w:hAnsi="Calibri"/>
                <w:sz w:val="18"/>
                <w:szCs w:val="18"/>
              </w:rPr>
              <w:t>Do not claim a valid alert; return configuration-required status per API convention.</w:t>
            </w:r>
          </w:p>
        </w:tc>
      </w:tr>
      <w:tr w14:paraId="760A1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88CF87A">
            <w:pPr>
              <w:spacing w:after="0"/>
              <w:rPr>
                <w:sz w:val="18"/>
                <w:szCs w:val="18"/>
              </w:rPr>
            </w:pPr>
            <w:r>
              <w:rPr>
                <w:rFonts w:ascii="Calibri" w:hAnsi="Calibri"/>
                <w:sz w:val="18"/>
                <w:szCs w:val="18"/>
              </w:rPr>
              <w:t>No prior comparison observation</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097ADBF">
            <w:pPr>
              <w:spacing w:after="0"/>
              <w:rPr>
                <w:sz w:val="18"/>
                <w:szCs w:val="18"/>
              </w:rPr>
            </w:pPr>
            <w:r>
              <w:rPr>
                <w:rFonts w:ascii="Calibri" w:hAnsi="Calibri"/>
                <w:sz w:val="18"/>
                <w:szCs w:val="18"/>
              </w:rPr>
              <w:t>Do not evaluate the crossing until confirmed fallback/reference policy is applied.</w:t>
            </w:r>
          </w:p>
        </w:tc>
      </w:tr>
      <w:tr w14:paraId="3E9A0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50F45BC">
            <w:pPr>
              <w:spacing w:after="0"/>
              <w:rPr>
                <w:sz w:val="18"/>
                <w:szCs w:val="18"/>
              </w:rPr>
            </w:pPr>
            <w:r>
              <w:rPr>
                <w:rFonts w:ascii="Calibri" w:hAnsi="Calibri"/>
                <w:sz w:val="18"/>
                <w:szCs w:val="18"/>
              </w:rPr>
              <w:t>No live market status configuration</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06B81F2">
            <w:pPr>
              <w:spacing w:after="0"/>
              <w:rPr>
                <w:sz w:val="18"/>
                <w:szCs w:val="18"/>
              </w:rPr>
            </w:pPr>
            <w:r>
              <w:rPr>
                <w:rFonts w:ascii="Calibri" w:hAnsi="Calibri"/>
                <w:sz w:val="18"/>
                <w:szCs w:val="18"/>
              </w:rPr>
              <w:t>Do not run Live checks as if market were open; return/log timing configuration unavailable.</w:t>
            </w:r>
          </w:p>
        </w:tc>
      </w:tr>
      <w:tr w14:paraId="0963F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9CE843E">
            <w:pPr>
              <w:spacing w:after="0"/>
              <w:rPr>
                <w:sz w:val="18"/>
                <w:szCs w:val="18"/>
              </w:rPr>
            </w:pPr>
            <w:r>
              <w:rPr>
                <w:rFonts w:ascii="Calibri" w:hAnsi="Calibri"/>
                <w:sz w:val="18"/>
                <w:szCs w:val="18"/>
              </w:rPr>
              <w:t>Market timing cache not ready</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D8E2547">
            <w:pPr>
              <w:spacing w:after="0"/>
              <w:rPr>
                <w:sz w:val="18"/>
                <w:szCs w:val="18"/>
              </w:rPr>
            </w:pPr>
            <w:r>
              <w:rPr>
                <w:rFonts w:ascii="Calibri" w:hAnsi="Calibri"/>
                <w:sz w:val="18"/>
                <w:szCs w:val="18"/>
              </w:rPr>
              <w:t>Handle as unavailable according to MarketStatusService behavior.</w:t>
            </w:r>
          </w:p>
        </w:tc>
      </w:tr>
      <w:tr w14:paraId="72276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2BFD78C">
            <w:pPr>
              <w:spacing w:after="0"/>
              <w:rPr>
                <w:sz w:val="18"/>
                <w:szCs w:val="18"/>
              </w:rPr>
            </w:pPr>
            <w:r>
              <w:rPr>
                <w:rFonts w:ascii="Calibri" w:hAnsi="Calibri"/>
                <w:sz w:val="18"/>
                <w:szCs w:val="18"/>
              </w:rPr>
              <w:t>Price data unavailable or stale</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2D21C05">
            <w:pPr>
              <w:spacing w:after="0"/>
              <w:rPr>
                <w:sz w:val="18"/>
                <w:szCs w:val="18"/>
              </w:rPr>
            </w:pPr>
            <w:r>
              <w:rPr>
                <w:rFonts w:ascii="Calibri" w:hAnsi="Calibri"/>
                <w:sz w:val="18"/>
                <w:szCs w:val="18"/>
              </w:rPr>
              <w:t>Do not evaluate the price-up condition.</w:t>
            </w:r>
          </w:p>
        </w:tc>
      </w:tr>
      <w:tr w14:paraId="79271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6B8C5D4">
            <w:pPr>
              <w:spacing w:after="0"/>
              <w:rPr>
                <w:sz w:val="18"/>
                <w:szCs w:val="18"/>
              </w:rPr>
            </w:pPr>
            <w:r>
              <w:rPr>
                <w:rFonts w:ascii="Calibri" w:hAnsi="Calibri"/>
                <w:sz w:val="18"/>
                <w:szCs w:val="18"/>
              </w:rPr>
              <w:t>OI unavailable for one or more required contracts</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0953223">
            <w:pPr>
              <w:spacing w:after="0"/>
              <w:rPr>
                <w:sz w:val="18"/>
                <w:szCs w:val="18"/>
              </w:rPr>
            </w:pPr>
            <w:r>
              <w:rPr>
                <w:rFonts w:ascii="Calibri" w:hAnsi="Calibri"/>
                <w:sz w:val="18"/>
                <w:szCs w:val="18"/>
              </w:rPr>
              <w:t>Do not calculate combined OI from an incomplete set unless an explicit partial-data policy exists.</w:t>
            </w:r>
          </w:p>
        </w:tc>
      </w:tr>
      <w:tr w14:paraId="6230E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78D3A54">
            <w:pPr>
              <w:spacing w:after="0"/>
              <w:rPr>
                <w:sz w:val="18"/>
                <w:szCs w:val="18"/>
              </w:rPr>
            </w:pPr>
            <w:r>
              <w:rPr>
                <w:rFonts w:ascii="Calibri" w:hAnsi="Calibri"/>
                <w:sz w:val="18"/>
                <w:szCs w:val="18"/>
              </w:rPr>
              <w:t>Futures contract/expiry mapping missing</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91DEC95">
            <w:pPr>
              <w:spacing w:after="0"/>
              <w:rPr>
                <w:sz w:val="18"/>
                <w:szCs w:val="18"/>
              </w:rPr>
            </w:pPr>
            <w:r>
              <w:rPr>
                <w:rFonts w:ascii="Calibri" w:hAnsi="Calibri"/>
                <w:sz w:val="18"/>
                <w:szCs w:val="18"/>
              </w:rPr>
              <w:t>Return configuration/data unavailable; do not guess the contract universe.</w:t>
            </w:r>
          </w:p>
        </w:tc>
      </w:tr>
      <w:tr w14:paraId="6A9A1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8CFFB86">
            <w:pPr>
              <w:spacing w:after="0"/>
              <w:rPr>
                <w:sz w:val="18"/>
                <w:szCs w:val="18"/>
              </w:rPr>
            </w:pPr>
            <w:r>
              <w:rPr>
                <w:rFonts w:ascii="Calibri" w:hAnsi="Calibri"/>
                <w:sz w:val="18"/>
                <w:szCs w:val="18"/>
              </w:rPr>
              <w:t>Threshold reached between 15-minute snapshots</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2AF884A">
            <w:pPr>
              <w:spacing w:after="0"/>
              <w:rPr>
                <w:sz w:val="18"/>
                <w:szCs w:val="18"/>
              </w:rPr>
            </w:pPr>
            <w:r>
              <w:rPr>
                <w:rFonts w:ascii="Calibri" w:hAnsi="Calibri"/>
                <w:sz w:val="18"/>
                <w:szCs w:val="18"/>
              </w:rPr>
              <w:t>May be missed by polling; use event-based detection only if separately approved.</w:t>
            </w:r>
          </w:p>
        </w:tc>
      </w:tr>
      <w:tr w14:paraId="1129F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A31BFEC">
            <w:pPr>
              <w:spacing w:after="0"/>
              <w:rPr>
                <w:sz w:val="18"/>
                <w:szCs w:val="18"/>
              </w:rPr>
            </w:pPr>
            <w:r>
              <w:rPr>
                <w:rFonts w:ascii="Calibri" w:hAnsi="Calibri"/>
                <w:sz w:val="18"/>
                <w:szCs w:val="18"/>
              </w:rPr>
              <w:t>No signal</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6392B8D">
            <w:pPr>
              <w:spacing w:after="0"/>
              <w:rPr>
                <w:sz w:val="18"/>
                <w:szCs w:val="18"/>
              </w:rPr>
            </w:pPr>
            <w:r>
              <w:rPr>
                <w:rFonts w:ascii="Calibri" w:hAnsi="Calibri"/>
                <w:sz w:val="18"/>
                <w:szCs w:val="18"/>
              </w:rPr>
              <w:t>Return no alert using established TechnicalScreeners response conventions.</w:t>
            </w:r>
          </w:p>
        </w:tc>
      </w:tr>
      <w:tr w14:paraId="626B3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63F719A">
            <w:pPr>
              <w:spacing w:after="0"/>
              <w:rPr>
                <w:sz w:val="18"/>
                <w:szCs w:val="18"/>
              </w:rPr>
            </w:pPr>
            <w:r>
              <w:rPr>
                <w:rFonts w:ascii="Calibri" w:hAnsi="Calibri"/>
                <w:sz w:val="18"/>
                <w:szCs w:val="18"/>
              </w:rPr>
              <w:t>Invalid exchange/group</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A1211EA">
            <w:pPr>
              <w:spacing w:after="0"/>
              <w:rPr>
                <w:sz w:val="18"/>
                <w:szCs w:val="18"/>
              </w:rPr>
            </w:pPr>
            <w:r>
              <w:rPr>
                <w:rFonts w:ascii="Calibri" w:hAnsi="Calibri"/>
                <w:sz w:val="18"/>
                <w:szCs w:val="18"/>
              </w:rPr>
              <w:t>Return validation error using existing route conventions.</w:t>
            </w:r>
          </w:p>
        </w:tc>
      </w:tr>
      <w:tr w14:paraId="69ECD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A965CB5">
            <w:pPr>
              <w:spacing w:after="0"/>
              <w:rPr>
                <w:sz w:val="18"/>
                <w:szCs w:val="18"/>
              </w:rPr>
            </w:pPr>
            <w:r>
              <w:rPr>
                <w:rFonts w:ascii="Calibri" w:hAnsi="Calibri"/>
                <w:sz w:val="18"/>
                <w:szCs w:val="18"/>
              </w:rPr>
              <w:t>SQLite or market-data failure</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EE9E252">
            <w:pPr>
              <w:spacing w:after="0"/>
              <w:rPr>
                <w:sz w:val="18"/>
                <w:szCs w:val="18"/>
              </w:rPr>
            </w:pPr>
            <w:r>
              <w:rPr>
                <w:rFonts w:ascii="Calibri" w:hAnsi="Calibri"/>
                <w:sz w:val="18"/>
                <w:szCs w:val="18"/>
              </w:rPr>
              <w:t>Log details and return generic service error.</w:t>
            </w:r>
          </w:p>
        </w:tc>
      </w:tr>
    </w:tbl>
    <w:p w14:paraId="28597340">
      <w:pPr>
        <w:pStyle w:val="4"/>
        <w:numPr>
          <w:numId w:val="0"/>
        </w:numPr>
        <w:rPr>
          <w:rFonts w:hint="default"/>
          <w:lang w:val="en-US"/>
        </w:rPr>
      </w:pPr>
      <w:r>
        <w:rPr>
          <w:rFonts w:hint="default"/>
          <w:lang w:val="en-US"/>
        </w:rPr>
        <w:t>12. Logging</w:t>
      </w:r>
    </w:p>
    <w:tbl>
      <w:tblPr>
        <w:tblStyle w:val="12"/>
        <w:tblW w:w="92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445"/>
        <w:gridCol w:w="3431"/>
        <w:gridCol w:w="4153"/>
      </w:tblGrid>
      <w:tr w14:paraId="6164A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45"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6743F990">
            <w:pPr>
              <w:spacing w:after="0"/>
            </w:pPr>
            <w:r>
              <w:rPr>
                <w:rFonts w:ascii="Calibri" w:hAnsi="Calibri"/>
                <w:b/>
                <w:sz w:val="21"/>
              </w:rPr>
              <w:t>Level</w:t>
            </w:r>
          </w:p>
        </w:tc>
        <w:tc>
          <w:tcPr>
            <w:tcW w:w="3431"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7944C8AB">
            <w:pPr>
              <w:spacing w:after="0"/>
            </w:pPr>
            <w:r>
              <w:rPr>
                <w:rFonts w:ascii="Calibri" w:hAnsi="Calibri"/>
                <w:b/>
                <w:sz w:val="21"/>
              </w:rPr>
              <w:t>Event</w:t>
            </w:r>
          </w:p>
        </w:tc>
        <w:tc>
          <w:tcPr>
            <w:tcW w:w="4153"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17DE4087">
            <w:pPr>
              <w:spacing w:after="0"/>
            </w:pPr>
            <w:r>
              <w:rPr>
                <w:rFonts w:ascii="Calibri" w:hAnsi="Calibri"/>
                <w:b/>
                <w:sz w:val="21"/>
              </w:rPr>
              <w:t>Key Identifiers</w:t>
            </w:r>
          </w:p>
        </w:tc>
      </w:tr>
      <w:tr w14:paraId="4B560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2408FE0">
            <w:pPr>
              <w:spacing w:after="0"/>
              <w:rPr>
                <w:sz w:val="18"/>
                <w:szCs w:val="18"/>
              </w:rPr>
            </w:pPr>
            <w:r>
              <w:rPr>
                <w:rFonts w:ascii="Calibri" w:hAnsi="Calibri"/>
                <w:sz w:val="18"/>
                <w:szCs w:val="18"/>
              </w:rPr>
              <w:t>Information</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C2AFDF8">
            <w:pPr>
              <w:spacing w:after="0"/>
              <w:rPr>
                <w:sz w:val="18"/>
                <w:szCs w:val="18"/>
              </w:rPr>
            </w:pPr>
            <w:r>
              <w:rPr>
                <w:rFonts w:ascii="Calibri" w:hAnsi="Calibri"/>
                <w:sz w:val="18"/>
                <w:szCs w:val="18"/>
              </w:rPr>
              <w:t>Short Covering evaluation started</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1BAEB28">
            <w:pPr>
              <w:spacing w:after="0"/>
              <w:rPr>
                <w:sz w:val="18"/>
                <w:szCs w:val="18"/>
              </w:rPr>
            </w:pPr>
            <w:r>
              <w:rPr>
                <w:rFonts w:ascii="Calibri" w:hAnsi="Calibri"/>
                <w:sz w:val="18"/>
                <w:szCs w:val="18"/>
              </w:rPr>
              <w:t>Exchange, groupName, mode, timestamp.</w:t>
            </w:r>
          </w:p>
        </w:tc>
      </w:tr>
      <w:tr w14:paraId="05FE7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AEF1F1C">
            <w:pPr>
              <w:spacing w:after="0"/>
              <w:rPr>
                <w:sz w:val="18"/>
                <w:szCs w:val="18"/>
              </w:rPr>
            </w:pPr>
            <w:r>
              <w:rPr>
                <w:rFonts w:ascii="Calibri" w:hAnsi="Calibri"/>
                <w:sz w:val="18"/>
                <w:szCs w:val="18"/>
              </w:rPr>
              <w:t>Information</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8CF7B17">
            <w:pPr>
              <w:spacing w:after="0"/>
              <w:rPr>
                <w:sz w:val="18"/>
                <w:szCs w:val="18"/>
              </w:rPr>
            </w:pPr>
            <w:r>
              <w:rPr>
                <w:rFonts w:ascii="Calibri" w:hAnsi="Calibri"/>
                <w:sz w:val="18"/>
                <w:szCs w:val="18"/>
              </w:rPr>
              <w:t>Futures/OI data loaded</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AF021AB">
            <w:pPr>
              <w:spacing w:after="0"/>
              <w:rPr>
                <w:sz w:val="18"/>
                <w:szCs w:val="18"/>
              </w:rPr>
            </w:pPr>
            <w:r>
              <w:rPr>
                <w:rFonts w:ascii="Calibri" w:hAnsi="Calibri"/>
                <w:sz w:val="18"/>
                <w:szCs w:val="18"/>
              </w:rPr>
              <w:t>Index, contract set, observation time, completeness.</w:t>
            </w:r>
          </w:p>
        </w:tc>
      </w:tr>
      <w:tr w14:paraId="7F975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C356AED">
            <w:pPr>
              <w:spacing w:after="0"/>
              <w:rPr>
                <w:sz w:val="18"/>
                <w:szCs w:val="18"/>
              </w:rPr>
            </w:pPr>
            <w:r>
              <w:rPr>
                <w:rFonts w:ascii="Calibri" w:hAnsi="Calibri"/>
                <w:sz w:val="18"/>
                <w:szCs w:val="18"/>
              </w:rPr>
              <w:t>Debug</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C828AB7">
            <w:pPr>
              <w:spacing w:after="0"/>
              <w:rPr>
                <w:sz w:val="18"/>
                <w:szCs w:val="18"/>
              </w:rPr>
            </w:pPr>
            <w:r>
              <w:rPr>
                <w:rFonts w:ascii="Calibri" w:hAnsi="Calibri"/>
                <w:sz w:val="18"/>
                <w:szCs w:val="18"/>
              </w:rPr>
              <w:t>Price/OI direction evaluated</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DF6BAD0">
            <w:pPr>
              <w:spacing w:after="0"/>
              <w:rPr>
                <w:sz w:val="18"/>
                <w:szCs w:val="18"/>
              </w:rPr>
            </w:pPr>
            <w:r>
              <w:rPr>
                <w:rFonts w:ascii="Calibri" w:hAnsi="Calibri"/>
                <w:sz w:val="18"/>
                <w:szCs w:val="18"/>
              </w:rPr>
              <w:t>Current/prior price, current/prior combined OI, result.</w:t>
            </w:r>
          </w:p>
        </w:tc>
      </w:tr>
      <w:tr w14:paraId="61777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48C7747">
            <w:pPr>
              <w:spacing w:after="0"/>
              <w:rPr>
                <w:sz w:val="18"/>
                <w:szCs w:val="18"/>
              </w:rPr>
            </w:pPr>
            <w:r>
              <w:rPr>
                <w:rFonts w:ascii="Calibri" w:hAnsi="Calibri"/>
                <w:sz w:val="18"/>
                <w:szCs w:val="18"/>
              </w:rPr>
              <w:t>Debug</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4ACBD56">
            <w:pPr>
              <w:spacing w:after="0"/>
              <w:rPr>
                <w:sz w:val="18"/>
                <w:szCs w:val="18"/>
              </w:rPr>
            </w:pPr>
            <w:r>
              <w:rPr>
                <w:rFonts w:ascii="Calibri" w:hAnsi="Calibri"/>
                <w:sz w:val="18"/>
                <w:szCs w:val="18"/>
              </w:rPr>
              <w:t>SC % threshold evaluated</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5299DF5">
            <w:pPr>
              <w:spacing w:after="0"/>
              <w:rPr>
                <w:sz w:val="18"/>
                <w:szCs w:val="18"/>
              </w:rPr>
            </w:pPr>
            <w:r>
              <w:rPr>
                <w:rFonts w:ascii="Calibri" w:hAnsi="Calibri"/>
                <w:sz w:val="18"/>
                <w:szCs w:val="18"/>
              </w:rPr>
              <w:t>SC % value, configured threshold, crossing result.</w:t>
            </w:r>
          </w:p>
        </w:tc>
      </w:tr>
      <w:tr w14:paraId="1373E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C4EAD94">
            <w:pPr>
              <w:spacing w:after="0"/>
              <w:rPr>
                <w:sz w:val="18"/>
                <w:szCs w:val="18"/>
              </w:rPr>
            </w:pPr>
            <w:r>
              <w:rPr>
                <w:rFonts w:ascii="Calibri" w:hAnsi="Calibri"/>
                <w:sz w:val="18"/>
                <w:szCs w:val="18"/>
              </w:rPr>
              <w:t>Information</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C0B9397">
            <w:pPr>
              <w:spacing w:after="0"/>
              <w:rPr>
                <w:sz w:val="18"/>
                <w:szCs w:val="18"/>
              </w:rPr>
            </w:pPr>
            <w:r>
              <w:rPr>
                <w:rFonts w:ascii="Calibri" w:hAnsi="Calibri"/>
                <w:sz w:val="18"/>
                <w:szCs w:val="18"/>
              </w:rPr>
              <w:t>Short Covering alert detected</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12C6B5C">
            <w:pPr>
              <w:spacing w:after="0"/>
              <w:rPr>
                <w:sz w:val="18"/>
                <w:szCs w:val="18"/>
              </w:rPr>
            </w:pPr>
            <w:r>
              <w:rPr>
                <w:rFonts w:ascii="Calibri" w:hAnsi="Calibri"/>
                <w:sz w:val="18"/>
                <w:szCs w:val="18"/>
              </w:rPr>
              <w:t>Index/group, mode, timestamp, signal values.</w:t>
            </w:r>
          </w:p>
        </w:tc>
      </w:tr>
      <w:tr w14:paraId="40A9D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30521DF">
            <w:pPr>
              <w:spacing w:after="0"/>
              <w:rPr>
                <w:sz w:val="18"/>
                <w:szCs w:val="18"/>
              </w:rPr>
            </w:pPr>
            <w:r>
              <w:rPr>
                <w:rFonts w:ascii="Calibri" w:hAnsi="Calibri"/>
                <w:sz w:val="18"/>
                <w:szCs w:val="18"/>
              </w:rPr>
              <w:t>Warning</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5A8683E">
            <w:pPr>
              <w:spacing w:after="0"/>
              <w:rPr>
                <w:sz w:val="18"/>
                <w:szCs w:val="18"/>
              </w:rPr>
            </w:pPr>
            <w:r>
              <w:rPr>
                <w:rFonts w:ascii="Calibri" w:hAnsi="Calibri"/>
                <w:sz w:val="18"/>
                <w:szCs w:val="18"/>
              </w:rPr>
              <w:t>Market timing or required data unavailable</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9EAB61E">
            <w:pPr>
              <w:spacing w:after="0"/>
              <w:rPr>
                <w:sz w:val="18"/>
                <w:szCs w:val="18"/>
              </w:rPr>
            </w:pPr>
            <w:r>
              <w:rPr>
                <w:rFonts w:ascii="Calibri" w:hAnsi="Calibri"/>
                <w:sz w:val="18"/>
                <w:szCs w:val="18"/>
              </w:rPr>
              <w:t>Exchange, segment, index, reason.</w:t>
            </w:r>
          </w:p>
        </w:tc>
      </w:tr>
      <w:tr w14:paraId="6A57E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7FC8841">
            <w:pPr>
              <w:spacing w:after="0"/>
              <w:rPr>
                <w:sz w:val="18"/>
                <w:szCs w:val="18"/>
              </w:rPr>
            </w:pPr>
            <w:r>
              <w:rPr>
                <w:rFonts w:ascii="Calibri" w:hAnsi="Calibri"/>
                <w:sz w:val="18"/>
                <w:szCs w:val="18"/>
              </w:rPr>
              <w:t>Error</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AB8F613">
            <w:pPr>
              <w:spacing w:after="0"/>
              <w:rPr>
                <w:sz w:val="18"/>
                <w:szCs w:val="18"/>
              </w:rPr>
            </w:pPr>
            <w:r>
              <w:rPr>
                <w:rFonts w:ascii="Calibri" w:hAnsi="Calibri"/>
                <w:sz w:val="18"/>
                <w:szCs w:val="18"/>
              </w:rPr>
              <w:t>SQLite/live feed failure</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9851F28">
            <w:pPr>
              <w:spacing w:after="0"/>
              <w:rPr>
                <w:sz w:val="18"/>
                <w:szCs w:val="18"/>
              </w:rPr>
            </w:pPr>
            <w:r>
              <w:rPr>
                <w:rFonts w:ascii="Calibri" w:hAnsi="Calibri"/>
                <w:sz w:val="18"/>
                <w:szCs w:val="18"/>
              </w:rPr>
              <w:t>Exchange, index/group, source and exception.</w:t>
            </w:r>
          </w:p>
        </w:tc>
      </w:tr>
    </w:tbl>
    <w:p w14:paraId="52D5041D">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Avoid logging sensitive feed credentials or excessive per-update data. Use debug-level logging for snapshot comparisons.</w:t>
      </w:r>
    </w:p>
    <w:p w14:paraId="1DC37BC6">
      <w:pPr>
        <w:pStyle w:val="4"/>
        <w:numPr>
          <w:numId w:val="0"/>
        </w:numPr>
        <w:rPr>
          <w:rFonts w:hint="default"/>
          <w:lang w:val="en-US"/>
        </w:rPr>
      </w:pPr>
      <w:r>
        <w:rPr>
          <w:rFonts w:hint="default"/>
          <w:lang w:val="en-US"/>
        </w:rPr>
        <w:t>13. Error Handling</w:t>
      </w:r>
    </w:p>
    <w:tbl>
      <w:tblPr>
        <w:tblStyle w:val="12"/>
        <w:tblW w:w="92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528"/>
        <w:gridCol w:w="1264"/>
        <w:gridCol w:w="5237"/>
      </w:tblGrid>
      <w:tr w14:paraId="03339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28"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2FC6623F">
            <w:pPr>
              <w:spacing w:after="0"/>
            </w:pPr>
            <w:r>
              <w:rPr>
                <w:rFonts w:ascii="Calibri" w:hAnsi="Calibri"/>
                <w:b/>
                <w:sz w:val="21"/>
              </w:rPr>
              <w:t>Scenario</w:t>
            </w:r>
          </w:p>
        </w:tc>
        <w:tc>
          <w:tcPr>
            <w:tcW w:w="1264"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70722707">
            <w:pPr>
              <w:spacing w:after="0"/>
            </w:pPr>
            <w:r>
              <w:rPr>
                <w:rFonts w:ascii="Calibri" w:hAnsi="Calibri"/>
                <w:b/>
                <w:sz w:val="21"/>
              </w:rPr>
              <w:t>HTTP Status</w:t>
            </w:r>
          </w:p>
        </w:tc>
        <w:tc>
          <w:tcPr>
            <w:tcW w:w="5237"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38D0FF99">
            <w:pPr>
              <w:spacing w:after="0"/>
            </w:pPr>
            <w:r>
              <w:rPr>
                <w:rFonts w:ascii="Calibri" w:hAnsi="Calibri"/>
                <w:b/>
                <w:sz w:val="21"/>
              </w:rPr>
              <w:t>Handling</w:t>
            </w:r>
          </w:p>
        </w:tc>
      </w:tr>
      <w:tr w14:paraId="241E0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A4A1F96">
            <w:pPr>
              <w:spacing w:after="0"/>
              <w:rPr>
                <w:sz w:val="18"/>
                <w:szCs w:val="18"/>
              </w:rPr>
            </w:pPr>
            <w:r>
              <w:rPr>
                <w:rFonts w:ascii="Calibri" w:hAnsi="Calibri"/>
                <w:sz w:val="18"/>
                <w:szCs w:val="18"/>
              </w:rPr>
              <w:t>Invalid exchange</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5C233A6">
            <w:pPr>
              <w:spacing w:after="0"/>
              <w:rPr>
                <w:sz w:val="18"/>
                <w:szCs w:val="18"/>
              </w:rPr>
            </w:pPr>
            <w:r>
              <w:rPr>
                <w:rFonts w:ascii="Calibri" w:hAnsi="Calibri"/>
                <w:sz w:val="18"/>
                <w:szCs w:val="18"/>
              </w:rPr>
              <w:t>400</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8EC658B">
            <w:pPr>
              <w:spacing w:after="0"/>
              <w:rPr>
                <w:sz w:val="18"/>
                <w:szCs w:val="18"/>
              </w:rPr>
            </w:pPr>
            <w:r>
              <w:rPr>
                <w:rFonts w:ascii="Calibri" w:hAnsi="Calibri"/>
                <w:sz w:val="18"/>
                <w:szCs w:val="18"/>
              </w:rPr>
              <w:t>Return validation error using existing TechnicalScreeners schema.</w:t>
            </w:r>
          </w:p>
        </w:tc>
      </w:tr>
      <w:tr w14:paraId="1EB5A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7F82027">
            <w:pPr>
              <w:spacing w:after="0"/>
              <w:rPr>
                <w:sz w:val="18"/>
                <w:szCs w:val="18"/>
              </w:rPr>
            </w:pPr>
            <w:r>
              <w:rPr>
                <w:rFonts w:ascii="Calibri" w:hAnsi="Calibri"/>
                <w:sz w:val="18"/>
                <w:szCs w:val="18"/>
              </w:rPr>
              <w:t>Unknown groupName or futures mapping</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658C9E8">
            <w:pPr>
              <w:spacing w:after="0"/>
              <w:rPr>
                <w:sz w:val="18"/>
                <w:szCs w:val="18"/>
              </w:rPr>
            </w:pPr>
            <w:r>
              <w:rPr>
                <w:rFonts w:ascii="Calibri" w:hAnsi="Calibri"/>
                <w:sz w:val="18"/>
                <w:szCs w:val="18"/>
              </w:rPr>
              <w:t>400/404</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229B688">
            <w:pPr>
              <w:spacing w:after="0"/>
              <w:rPr>
                <w:sz w:val="18"/>
                <w:szCs w:val="18"/>
              </w:rPr>
            </w:pPr>
            <w:r>
              <w:rPr>
                <w:rFonts w:ascii="Calibri" w:hAnsi="Calibri"/>
                <w:sz w:val="18"/>
                <w:szCs w:val="18"/>
              </w:rPr>
              <w:t>Return established validation/not-found response.</w:t>
            </w:r>
          </w:p>
        </w:tc>
      </w:tr>
      <w:tr w14:paraId="24E7C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A79CA6E">
            <w:pPr>
              <w:spacing w:after="0"/>
              <w:rPr>
                <w:sz w:val="18"/>
                <w:szCs w:val="18"/>
              </w:rPr>
            </w:pPr>
            <w:r>
              <w:rPr>
                <w:rFonts w:ascii="Calibri" w:hAnsi="Calibri"/>
                <w:sz w:val="18"/>
                <w:szCs w:val="18"/>
              </w:rPr>
              <w:t>SC % formula/threshold missing</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FC239B2">
            <w:pPr>
              <w:spacing w:after="0"/>
              <w:rPr>
                <w:sz w:val="18"/>
                <w:szCs w:val="18"/>
              </w:rPr>
            </w:pPr>
            <w:r>
              <w:rPr>
                <w:rFonts w:ascii="Calibri" w:hAnsi="Calibri"/>
                <w:sz w:val="18"/>
                <w:szCs w:val="18"/>
              </w:rPr>
              <w:t>200/503</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53B4221">
            <w:pPr>
              <w:spacing w:after="0"/>
              <w:rPr>
                <w:sz w:val="18"/>
                <w:szCs w:val="18"/>
              </w:rPr>
            </w:pPr>
            <w:r>
              <w:rPr>
                <w:rFonts w:ascii="Calibri" w:hAnsi="Calibri"/>
                <w:sz w:val="18"/>
                <w:szCs w:val="18"/>
              </w:rPr>
              <w:t>Return explicit configuration-required status; do not report a detected alert.</w:t>
            </w:r>
          </w:p>
        </w:tc>
      </w:tr>
      <w:tr w14:paraId="04260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A816878">
            <w:pPr>
              <w:spacing w:after="0"/>
              <w:rPr>
                <w:sz w:val="18"/>
                <w:szCs w:val="18"/>
              </w:rPr>
            </w:pPr>
            <w:r>
              <w:rPr>
                <w:rFonts w:ascii="Calibri" w:hAnsi="Calibri"/>
                <w:sz w:val="18"/>
                <w:szCs w:val="18"/>
              </w:rPr>
              <w:t>Insufficient EOD history</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272267E">
            <w:pPr>
              <w:spacing w:after="0"/>
              <w:rPr>
                <w:sz w:val="18"/>
                <w:szCs w:val="18"/>
              </w:rPr>
            </w:pPr>
            <w:r>
              <w:rPr>
                <w:rFonts w:ascii="Calibri" w:hAnsi="Calibri"/>
                <w:sz w:val="18"/>
                <w:szCs w:val="18"/>
              </w:rPr>
              <w:t>200</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0E7E7E1">
            <w:pPr>
              <w:spacing w:after="0"/>
              <w:rPr>
                <w:sz w:val="18"/>
                <w:szCs w:val="18"/>
              </w:rPr>
            </w:pPr>
            <w:r>
              <w:rPr>
                <w:rFonts w:ascii="Calibri" w:hAnsi="Calibri"/>
                <w:sz w:val="18"/>
                <w:szCs w:val="18"/>
              </w:rPr>
              <w:t>Return no alert or established</w:t>
            </w:r>
            <w:bookmarkStart w:id="0" w:name="_GoBack"/>
            <w:bookmarkEnd w:id="0"/>
            <w:r>
              <w:rPr>
                <w:rFonts w:ascii="Calibri" w:hAnsi="Calibri"/>
                <w:sz w:val="18"/>
                <w:szCs w:val="18"/>
              </w:rPr>
              <w:t xml:space="preserve"> data-status response.</w:t>
            </w:r>
          </w:p>
        </w:tc>
      </w:tr>
      <w:tr w14:paraId="5D553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4B3068E">
            <w:pPr>
              <w:spacing w:after="0"/>
              <w:rPr>
                <w:sz w:val="18"/>
                <w:szCs w:val="18"/>
              </w:rPr>
            </w:pPr>
            <w:r>
              <w:rPr>
                <w:rFonts w:ascii="Calibri" w:hAnsi="Calibri"/>
                <w:sz w:val="18"/>
                <w:szCs w:val="18"/>
              </w:rPr>
              <w:t>Market timing unavailable for Live</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509F1F5">
            <w:pPr>
              <w:spacing w:after="0"/>
              <w:rPr>
                <w:sz w:val="18"/>
                <w:szCs w:val="18"/>
              </w:rPr>
            </w:pPr>
            <w:r>
              <w:rPr>
                <w:rFonts w:ascii="Calibri" w:hAnsi="Calibri"/>
                <w:sz w:val="18"/>
                <w:szCs w:val="18"/>
              </w:rPr>
              <w:t>200/503</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20BCF2A">
            <w:pPr>
              <w:spacing w:after="0"/>
              <w:rPr>
                <w:sz w:val="18"/>
                <w:szCs w:val="18"/>
              </w:rPr>
            </w:pPr>
            <w:r>
              <w:rPr>
                <w:rFonts w:ascii="Calibri" w:hAnsi="Calibri"/>
                <w:sz w:val="18"/>
                <w:szCs w:val="18"/>
              </w:rPr>
              <w:t>Do not execute live market-gated evaluation; follow existing status conventions.</w:t>
            </w:r>
          </w:p>
        </w:tc>
      </w:tr>
      <w:tr w14:paraId="49596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31B64A2">
            <w:pPr>
              <w:spacing w:after="0"/>
              <w:rPr>
                <w:sz w:val="18"/>
                <w:szCs w:val="18"/>
              </w:rPr>
            </w:pPr>
            <w:r>
              <w:rPr>
                <w:rFonts w:ascii="Calibri" w:hAnsi="Calibri"/>
                <w:sz w:val="18"/>
                <w:szCs w:val="18"/>
              </w:rPr>
              <w:t>Live price/OI unavailable</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2A8D19D">
            <w:pPr>
              <w:spacing w:after="0"/>
              <w:rPr>
                <w:sz w:val="18"/>
                <w:szCs w:val="18"/>
              </w:rPr>
            </w:pPr>
            <w:r>
              <w:rPr>
                <w:rFonts w:ascii="Calibri" w:hAnsi="Calibri"/>
                <w:sz w:val="18"/>
                <w:szCs w:val="18"/>
              </w:rPr>
              <w:t>200/503</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18828C6">
            <w:pPr>
              <w:spacing w:after="0"/>
              <w:rPr>
                <w:sz w:val="18"/>
                <w:szCs w:val="18"/>
              </w:rPr>
            </w:pPr>
            <w:r>
              <w:rPr>
                <w:rFonts w:ascii="Calibri" w:hAnsi="Calibri"/>
                <w:sz w:val="18"/>
                <w:szCs w:val="18"/>
              </w:rPr>
              <w:t>Return unavailable/stale status; do not silently fall back to EOD.</w:t>
            </w:r>
          </w:p>
        </w:tc>
      </w:tr>
      <w:tr w14:paraId="58B85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4F9158D">
            <w:pPr>
              <w:spacing w:after="0"/>
              <w:rPr>
                <w:sz w:val="18"/>
                <w:szCs w:val="18"/>
              </w:rPr>
            </w:pPr>
            <w:r>
              <w:rPr>
                <w:rFonts w:ascii="Calibri" w:hAnsi="Calibri"/>
                <w:sz w:val="18"/>
                <w:szCs w:val="18"/>
              </w:rPr>
              <w:t>Database/source failure</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C45B8AD">
            <w:pPr>
              <w:spacing w:after="0"/>
              <w:rPr>
                <w:sz w:val="18"/>
                <w:szCs w:val="18"/>
              </w:rPr>
            </w:pPr>
            <w:r>
              <w:rPr>
                <w:rFonts w:ascii="Calibri" w:hAnsi="Calibri"/>
                <w:sz w:val="18"/>
                <w:szCs w:val="18"/>
              </w:rPr>
              <w:t>500</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62390C1">
            <w:pPr>
              <w:spacing w:after="0"/>
              <w:rPr>
                <w:sz w:val="18"/>
                <w:szCs w:val="18"/>
              </w:rPr>
            </w:pPr>
            <w:r>
              <w:rPr>
                <w:rFonts w:ascii="Calibri" w:hAnsi="Calibri"/>
                <w:sz w:val="18"/>
                <w:szCs w:val="18"/>
              </w:rPr>
              <w:t>Log exception and return generic error without internals.</w:t>
            </w:r>
          </w:p>
        </w:tc>
      </w:tr>
      <w:tr w14:paraId="0BCAF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F585BF5">
            <w:pPr>
              <w:spacing w:after="0"/>
              <w:rPr>
                <w:sz w:val="18"/>
                <w:szCs w:val="18"/>
              </w:rPr>
            </w:pPr>
            <w:r>
              <w:rPr>
                <w:rFonts w:ascii="Calibri" w:hAnsi="Calibri"/>
                <w:sz w:val="18"/>
                <w:szCs w:val="18"/>
              </w:rPr>
              <w:t>Unexpected exception</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DD6F70E">
            <w:pPr>
              <w:spacing w:after="0"/>
              <w:rPr>
                <w:sz w:val="18"/>
                <w:szCs w:val="18"/>
              </w:rPr>
            </w:pPr>
            <w:r>
              <w:rPr>
                <w:rFonts w:ascii="Calibri" w:hAnsi="Calibri"/>
                <w:sz w:val="18"/>
                <w:szCs w:val="18"/>
              </w:rPr>
              <w:t>500</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23955A5">
            <w:pPr>
              <w:spacing w:after="0"/>
              <w:rPr>
                <w:sz w:val="18"/>
                <w:szCs w:val="18"/>
              </w:rPr>
            </w:pPr>
            <w:r>
              <w:rPr>
                <w:rFonts w:ascii="Calibri" w:hAnsi="Calibri"/>
                <w:sz w:val="18"/>
                <w:szCs w:val="18"/>
              </w:rPr>
              <w:t>Log exception and return generic error.</w:t>
            </w:r>
          </w:p>
        </w:tc>
      </w:tr>
    </w:tbl>
    <w:p w14:paraId="00F9F359">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Follow the status and response-envelope conventions used by the existing TechnicalScreeners endpoints.</w:t>
      </w:r>
    </w:p>
    <w:p w14:paraId="1E09D74D">
      <w:pPr>
        <w:pStyle w:val="4"/>
        <w:numPr>
          <w:numId w:val="0"/>
        </w:numPr>
        <w:rPr>
          <w:rFonts w:hint="default"/>
          <w:lang w:val="en-US"/>
        </w:rPr>
      </w:pPr>
      <w:r>
        <w:rPr>
          <w:rFonts w:hint="default"/>
          <w:lang w:val="en-US"/>
        </w:rPr>
        <w:t>14. Endpoint and Evaluation Configuration</w:t>
      </w:r>
    </w:p>
    <w:p w14:paraId="7DC3B874">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ShortCoveringAlert:</w:t>
      </w:r>
    </w:p>
    <w:p w14:paraId="777E10BC">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EODEndpointGroup = TechnicalScreeners</w:t>
      </w:r>
    </w:p>
    <w:p w14:paraId="07091329">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LiveEndpointGroup = TechnicalScreenersLive</w:t>
      </w:r>
    </w:p>
    <w:p w14:paraId="2B0F5AF9">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HistoricalTimeframe = Daily</w:t>
      </w:r>
    </w:p>
    <w:p w14:paraId="37452693">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LiveEvaluationCadence = 15 minutes (live snapshots, not candles)</w:t>
      </w:r>
    </w:p>
    <w:p w14:paraId="2796B427">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LiveMarketGate = Market_State_Timings / IMarketStatusService</w:t>
      </w:r>
    </w:p>
    <w:p w14:paraId="6C9C76F5">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FuturesGroups = Nifty / Bank Nifty (configured)</w:t>
      </w:r>
    </w:p>
    <w:p w14:paraId="2145DBFF">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PriceComparisonReference = To be confirmed</w:t>
      </w:r>
    </w:p>
    <w:p w14:paraId="5508284C">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CombinedOIContractUniverse = To be confirmed</w:t>
      </w:r>
    </w:p>
    <w:p w14:paraId="4003B738">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SCPercentFormula = To be confirmed</w:t>
      </w:r>
    </w:p>
    <w:p w14:paraId="6392D842">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SCPercentThreshold = To be configured</w:t>
      </w:r>
    </w:p>
    <w:p w14:paraId="6AE30B90">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ThresholdCrossingSemantics = To be confirmed</w:t>
      </w:r>
    </w:p>
    <w:p w14:paraId="0812C41B">
      <w:pPr>
        <w:pStyle w:val="4"/>
        <w:numPr>
          <w:numId w:val="0"/>
        </w:numPr>
        <w:rPr>
          <w:rFonts w:hint="default"/>
          <w:lang w:val="en-US"/>
        </w:rPr>
      </w:pPr>
      <w:r>
        <w:rPr>
          <w:rFonts w:hint="default"/>
          <w:lang w:val="en-US"/>
        </w:rPr>
        <w:t>15. Decisions to Confirm</w:t>
      </w:r>
    </w:p>
    <w:p w14:paraId="0B0A5298">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Define the SC % formula, threshold value, crossing direction, and equality behavior.</w:t>
      </w:r>
    </w:p>
    <w:p w14:paraId="1AE60EFB">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Confirm price-up comparison reference for Live and EOD modes.</w:t>
      </w:r>
    </w:p>
    <w:p w14:paraId="00144A6F">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Define which futures contracts/expiries form combined OI for Nifty and Bank Nifty, and how incomplete contract data is handled.</w:t>
      </w:r>
    </w:p>
    <w:p w14:paraId="7B15EBD0">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Confirm the prior observation used on the first Live evaluation of the day and whether 15-minute polling is sufficient to capture intended threshold crossings.</w:t>
      </w:r>
    </w:p>
    <w:p w14:paraId="4628E959">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Confirm the market segment to pass to IMarketStatusService and verify configured Market_State_Timings rows and runtime timezone alignment.</w:t>
      </w:r>
    </w:p>
    <w:p w14:paraId="29A5FDB4">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Confirm groupName mapping, final route suffix, response envelope, and how provisional live alerts are updated or cleared.</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77C"/>
    <w:rsid w:val="001E6BB5"/>
    <w:rsid w:val="00385E11"/>
    <w:rsid w:val="0059577C"/>
    <w:rsid w:val="006835D2"/>
    <w:rsid w:val="00731632"/>
    <w:rsid w:val="01CB0F78"/>
    <w:rsid w:val="045954B6"/>
    <w:rsid w:val="076D15CF"/>
    <w:rsid w:val="08CE77B4"/>
    <w:rsid w:val="0A54530F"/>
    <w:rsid w:val="0A750537"/>
    <w:rsid w:val="11254AAD"/>
    <w:rsid w:val="17A032FB"/>
    <w:rsid w:val="1A5E42D0"/>
    <w:rsid w:val="1C1E4649"/>
    <w:rsid w:val="1D3A1DA5"/>
    <w:rsid w:val="206E4B8B"/>
    <w:rsid w:val="213A6FA5"/>
    <w:rsid w:val="2406762A"/>
    <w:rsid w:val="28D617DA"/>
    <w:rsid w:val="29C1221E"/>
    <w:rsid w:val="2D2820E0"/>
    <w:rsid w:val="2D5A1875"/>
    <w:rsid w:val="30D72E30"/>
    <w:rsid w:val="32FA1831"/>
    <w:rsid w:val="341F5D90"/>
    <w:rsid w:val="35BE7DBB"/>
    <w:rsid w:val="370757D3"/>
    <w:rsid w:val="38A46CD0"/>
    <w:rsid w:val="402C0554"/>
    <w:rsid w:val="411452A8"/>
    <w:rsid w:val="432050AF"/>
    <w:rsid w:val="4A09304E"/>
    <w:rsid w:val="4CEC4311"/>
    <w:rsid w:val="50434BD4"/>
    <w:rsid w:val="509B32CD"/>
    <w:rsid w:val="50FA53DC"/>
    <w:rsid w:val="5114461E"/>
    <w:rsid w:val="57B317F1"/>
    <w:rsid w:val="622540F5"/>
    <w:rsid w:val="71EA5622"/>
    <w:rsid w:val="749E4DE3"/>
    <w:rsid w:val="75614B20"/>
    <w:rsid w:val="783B524E"/>
    <w:rsid w:val="7CC443BD"/>
    <w:rsid w:val="7DF4253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Calibri" w:hAnsi="Calibri" w:eastAsia="Calibri" w:cs="Calibri"/>
      <w:kern w:val="0"/>
      <w:sz w:val="21"/>
      <w:szCs w:val="21"/>
      <w:lang w:val="en-IN" w:eastAsia="en-IN" w:bidi="ar-SA"/>
      <w14:ligatures w14:val="none"/>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qFormat/>
    <w:uiPriority w:val="99"/>
    <w:rPr>
      <w:rFonts w:ascii="Courier New" w:hAnsi="Courier New" w:cs="Courier New"/>
      <w:sz w:val="20"/>
      <w:szCs w:val="20"/>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qFormat/>
    <w:uiPriority w:val="9"/>
    <w:rPr>
      <w:rFonts w:eastAsiaTheme="majorEastAsia" w:cstheme="majorBidi"/>
      <w:color w:val="2F5597" w:themeColor="accent1" w:themeShade="BF"/>
      <w:sz w:val="28"/>
      <w:szCs w:val="28"/>
    </w:rPr>
  </w:style>
  <w:style w:type="character" w:customStyle="1" w:styleId="22">
    <w:name w:val="Heading 4 Char"/>
    <w:basedOn w:val="11"/>
    <w:link w:val="5"/>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0"/>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2023</Words>
  <Characters>12914</Characters>
  <Lines>19</Lines>
  <Paragraphs>5</Paragraphs>
  <TotalTime>2</TotalTime>
  <ScaleCrop>false</ScaleCrop>
  <LinksUpToDate>false</LinksUpToDate>
  <CharactersWithSpaces>14816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2026-09-25T05:56:00Z</dcterms:created>
  <dc:creator>Chidambaram Idarts</dc:creator>
  <cp:lastModifiedBy>Srinivasan A J</cp:lastModifiedBy>
  <dcterms:modified xsi:type="dcterms:W3CDTF">2026-10-13T15:36:38Z</dcterms:modified>
  <dc:subject>Short Covering market-level screener using daily EOD and live snapshots</dc:subject>
  <dc:title>Short Covering Alert Market Level API Specification</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eyJoZGlkIjoiOGQ2OWYxNzM1NzRlOTUyZGFhYzNhYjlkNjk4ZTA5NWQiLCJ1c2VySWQiOiI1Njc0NTc3NTc1MjAifQ==</vt:lpwstr>
  </property>
  <property fmtid="{D5CDD505-2E9C-101B-9397-08002B2CF9AE}" pid="3" name="KSOProductBuildVer">
    <vt:lpwstr>1033-12.1.0.28485</vt:lpwstr>
  </property>
  <property fmtid="{D5CDD505-2E9C-101B-9397-08002B2CF9AE}" pid="4" name="ICV">
    <vt:lpwstr>CA63136533274322A621CC9B511EE572_12</vt:lpwstr>
  </property>
</Properties>
</file>