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"/>
        <w:jc w:val="center"/>
      </w:pPr>
      <w:r>
        <w:drawing>
          <wp:inline distT="0" distB="0" distL="0" distR="0">
            <wp:extent cx="5429250" cy="2714625"/>
            <wp:effectExtent t="0" r="0" b="0" l="0"/>
            <wp:docPr id="1" name="hero.png" descr="hero.png" title="her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Poppins" w:cs="Poppins" w:eastAsia="Poppins" w:hAnsi="Poppins"/>
          <w:b/>
          <w:bCs/>
          <w:color w:val="0A2370"/>
          <w:sz w:val="72"/>
          <w:szCs w:val="72"/>
        </w:rPr>
        <w:t xml:space="preserve">moolah.rocks</w:t>
      </w:r>
    </w:p>
    <w:p>
      <w:pPr>
        <w:spacing w:after="60"/>
        <w:jc w:val="center"/>
      </w:pPr>
      <w:r>
        <w:rPr>
          <w:rFonts w:ascii="Poppins" w:cs="Poppins" w:eastAsia="Poppins" w:hAnsi="Poppins"/>
          <w:color w:val="8892A8"/>
          <w:sz w:val="36"/>
          <w:szCs w:val="36"/>
        </w:rPr>
        <w:t xml:space="preserve">Brand Style Guide</w:t>
      </w:r>
    </w:p>
    <w:p>
      <w:pPr>
        <w:spacing w:after="400"/>
        <w:jc w:val="center"/>
      </w:pPr>
      <w:r>
        <w:rPr>
          <w:rFonts w:ascii="Arial" w:cs="Arial" w:eastAsia="Arial" w:hAnsi="Arial"/>
          <w:color w:val="8892A8"/>
          <w:sz w:val="20"/>
          <w:szCs w:val="20"/>
        </w:rPr>
        <w:t xml:space="preserve">v1.0 · April 2026</w:t>
      </w:r>
    </w:p>
    <w:p>
      <w:pPr>
        <w:pStyle w:val="Heading1"/>
        <w:spacing w:after="180" w:before="360"/>
      </w:pPr>
      <w:r>
        <w:rPr>
          <w:rFonts w:ascii="Poppins" w:cs="Poppins" w:eastAsia="Poppins" w:hAnsi="Poppins"/>
          <w:color w:val="0A2370"/>
        </w:rPr>
        <w:t xml:space="preserve">1. Brand Overview</w:t>
      </w:r>
    </w:p>
    <w:p>
      <w:pPr>
        <w:spacing w:after="120"/>
      </w:pPr>
      <w:r>
        <w:rPr>
          <w:rFonts w:ascii="Arial" w:cs="Arial" w:eastAsia="Arial" w:hAnsi="Arial"/>
          <w:color w:val="2A2F3C"/>
          <w:sz w:val="22"/>
          <w:szCs w:val="22"/>
        </w:rPr>
        <w:t xml:space="preserve">moolah.rocks is a personal finance product that helps people see their money clearly — income in, expenses out, balance in the middle. The brand is confident, crystalline, and bold. It treats money as a substance with weight: solid as a rock, precious as a gem.</w:t>
      </w:r>
    </w:p>
    <w:p>
      <w:pPr>
        <w:pStyle w:val="Heading3"/>
        <w:spacing w:after="100" w:before="220"/>
      </w:pPr>
      <w:r>
        <w:rPr>
          <w:rFonts w:ascii="Poppins" w:cs="Poppins" w:eastAsia="Poppins" w:hAnsi="Poppins"/>
          <w:color w:val="0A2370"/>
        </w:rPr>
        <w:t xml:space="preserve">Voice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Confident but warm — never preachy, never alarmist.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Plain words over jargon. "What's left over" beats "residual cashflow".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Playful on the surface, rigorous underneath.</w:t>
      </w:r>
    </w:p>
    <w:p>
      <w:pPr>
        <w:pStyle w:val="Heading3"/>
        <w:spacing w:after="100" w:before="220"/>
      </w:pPr>
      <w:r>
        <w:rPr>
          <w:rFonts w:ascii="Poppins" w:cs="Poppins" w:eastAsia="Poppins" w:hAnsi="Poppins"/>
          <w:color w:val="0A2370"/>
        </w:rPr>
        <w:t xml:space="preserve">Tagline</w:t>
      </w:r>
    </w:p>
    <w:p>
      <w:pPr>
        <w:spacing w:after="120"/>
      </w:pPr>
      <w:r>
        <w:rPr>
          <w:rFonts w:ascii="Arial" w:cs="Arial" w:eastAsia="Arial" w:hAnsi="Arial"/>
          <w:color w:val="2A2F3C"/>
          <w:sz w:val="22"/>
          <w:szCs w:val="22"/>
        </w:rPr>
        <w:t xml:space="preserve">Your money, rock solid.</w:t>
      </w:r>
    </w:p>
    <w:p>
      <w:pPr>
        <w:pStyle w:val="Heading1"/>
        <w:spacing w:after="180" w:before="360"/>
      </w:pPr>
      <w:r>
        <w:rPr>
          <w:rFonts w:ascii="Poppins" w:cs="Poppins" w:eastAsia="Poppins" w:hAnsi="Poppins"/>
          <w:color w:val="0A2370"/>
        </w:rPr>
        <w:t xml:space="preserve">2. Logo &amp; Mark</w:t>
      </w:r>
    </w:p>
    <w:p>
      <w:pPr>
        <w:spacing w:after="120"/>
      </w:pPr>
      <w:r>
        <w:rPr>
          <w:rFonts w:ascii="Arial" w:cs="Arial" w:eastAsia="Arial" w:hAnsi="Arial"/>
          <w:color w:val="2A2F3C"/>
          <w:sz w:val="22"/>
          <w:szCs w:val="22"/>
        </w:rPr>
        <w:t xml:space="preserve">The mark is a pair of faceted crystal peaks forming an “M”, with a split blue/red gem at the valley. The blue peak represents income; the red peak represents expenses; the gem represents balance.</w:t>
      </w:r>
    </w:p>
    <w:p>
      <w:pPr>
        <w:spacing w:after="240" w:before="120"/>
        <w:jc w:val="center"/>
      </w:pPr>
      <w:r>
        <w:drawing>
          <wp:inline distT="0" distB="0" distL="0" distR="0">
            <wp:extent cx="2095500" cy="2095500"/>
            <wp:effectExtent t="0" r="0" b="0" l="0"/>
            <wp:docPr id="1" name="icon-512.png" descr="icon-512.png" title="icon-5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280"/>
      </w:pPr>
      <w:r>
        <w:rPr>
          <w:rFonts w:ascii="Poppins" w:cs="Poppins" w:eastAsia="Poppins" w:hAnsi="Poppins"/>
          <w:color w:val="0A2370"/>
        </w:rPr>
        <w:t xml:space="preserve">Logo Lockups</w:t>
      </w:r>
    </w:p>
    <w:p>
      <w:pPr>
        <w:spacing w:after="120"/>
      </w:pPr>
      <w:r>
        <w:rPr>
          <w:rFonts w:ascii="Arial" w:cs="Arial" w:eastAsia="Arial" w:hAnsi="Arial"/>
          <w:color w:val="2A2F3C"/>
          <w:sz w:val="22"/>
          <w:szCs w:val="22"/>
        </w:rPr>
        <w:t xml:space="preserve">Three primary lockups cover all use cases. Choose the one that best fits your layout.</w:t>
      </w:r>
    </w:p>
    <w:p>
      <w:pPr>
        <w:pStyle w:val="Heading3"/>
        <w:spacing w:after="100" w:before="220"/>
      </w:pPr>
      <w:r>
        <w:rPr>
          <w:rFonts w:ascii="Poppins" w:cs="Poppins" w:eastAsia="Poppins" w:hAnsi="Poppins"/>
          <w:color w:val="0A2370"/>
        </w:rPr>
        <w:t xml:space="preserve">Horizontal Lockup — default</w:t>
      </w:r>
    </w:p>
    <w:p>
      <w:pPr>
        <w:spacing w:after="240" w:before="120"/>
        <w:jc w:val="center"/>
      </w:pPr>
      <w:r>
        <w:drawing>
          <wp:inline distT="0" distB="0" distL="0" distR="0">
            <wp:extent cx="4572000" cy="819150"/>
            <wp:effectExtent t="0" r="0" b="0" l="0"/>
            <wp:docPr id="1" name="lockup-horizontal-dark-bg.png" descr="lockup-horizontal-dark-bg.png" title="lockup-horizontal-dark-b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120"/>
        <w:jc w:val="center"/>
      </w:pPr>
      <w:r>
        <w:drawing>
          <wp:inline distT="0" distB="0" distL="0" distR="0">
            <wp:extent cx="4572000" cy="819150"/>
            <wp:effectExtent t="0" r="0" b="0" l="0"/>
            <wp:docPr id="1" name="lockup-horizontal-light-bg.png" descr="lockup-horizontal-light-bg.png" title="lockup-horizontal-light-b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00" w:before="220"/>
      </w:pPr>
      <w:r>
        <w:rPr>
          <w:rFonts w:ascii="Poppins" w:cs="Poppins" w:eastAsia="Poppins" w:hAnsi="Poppins"/>
          <w:color w:val="0A2370"/>
        </w:rPr>
        <w:t xml:space="preserve">Stacked Lockup — square placements</w:t>
      </w:r>
    </w:p>
    <w:p>
      <w:pPr>
        <w:spacing w:after="240" w:before="120"/>
        <w:jc w:val="center"/>
      </w:pPr>
      <w:r>
        <w:drawing>
          <wp:inline distT="0" distB="0" distL="0" distR="0">
            <wp:extent cx="2476500" cy="847725"/>
            <wp:effectExtent t="0" r="0" b="0" l="0"/>
            <wp:docPr id="1" name="lockup-stacked-dark-bg.png" descr="lockup-stacked-dark-bg.png" title="lockup-stacked-dark-b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280"/>
      </w:pPr>
      <w:r>
        <w:rPr>
          <w:rFonts w:ascii="Poppins" w:cs="Poppins" w:eastAsia="Poppins" w:hAnsi="Poppins"/>
          <w:color w:val="0A2370"/>
        </w:rPr>
        <w:t xml:space="preserve">Clearspace &amp; Minimum Size</w:t>
      </w:r>
    </w:p>
    <w:p>
      <w:pPr>
        <w:spacing w:after="120"/>
      </w:pPr>
      <w:r>
        <w:rPr>
          <w:rFonts w:ascii="Arial" w:cs="Arial" w:eastAsia="Arial" w:hAnsi="Arial"/>
          <w:color w:val="2A2F3C"/>
          <w:sz w:val="22"/>
          <w:szCs w:val="22"/>
        </w:rPr>
        <w:t xml:space="preserve">Maintain clearspace equal to one-quarter of the icon's height on all sides. Never place competing elements inside this zone.</w:t>
      </w:r>
    </w:p>
    <w:p>
      <w:pPr>
        <w:spacing w:after="24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clearspace.png" descr="clearspace.png" title="clearspa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Minimum app icon size: 16px (system favicon).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Minimum horizontal lockup height: 32px.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Minimum stacked lockup height: 80px.</w:t>
      </w:r>
    </w:p>
    <w:p>
      <w:pPr>
        <w:pStyle w:val="Heading2"/>
        <w:spacing w:after="140" w:before="280"/>
      </w:pPr>
      <w:r>
        <w:rPr>
          <w:rFonts w:ascii="Poppins" w:cs="Poppins" w:eastAsia="Poppins" w:hAnsi="Poppins"/>
          <w:color w:val="0A2370"/>
        </w:rPr>
        <w:t xml:space="preserve">Do's and Don'ts</w:t>
      </w:r>
    </w:p>
    <w:p>
      <w:pPr>
        <w:spacing w:after="24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dos-and-donts.png" descr="dos-and-donts.png" title="dos-and-don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 place the mark on Brand Space (#07102E) or Paper (#F8FAFD).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 keep the blue peak on the left and the red peak on the right.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Don't recolor the peaks, skew, rotate, or add drop shadows.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Don't re-cut the gem or replace it with other glyphs.</w:t>
      </w:r>
    </w:p>
    <w:p>
      <w:pPr>
        <w:pStyle w:val="Heading1"/>
        <w:spacing w:after="180" w:before="360"/>
      </w:pPr>
      <w:r>
        <w:rPr>
          <w:rFonts w:ascii="Poppins" w:cs="Poppins" w:eastAsia="Poppins" w:hAnsi="Poppins"/>
          <w:color w:val="0A2370"/>
        </w:rPr>
        <w:t xml:space="preserve">3. Color System</w:t>
      </w:r>
    </w:p>
    <w:p>
      <w:pPr>
        <w:spacing w:after="120"/>
      </w:pPr>
      <w:r>
        <w:rPr>
          <w:rFonts w:ascii="Arial" w:cs="Arial" w:eastAsia="Arial" w:hAnsi="Arial"/>
          <w:color w:val="2A2F3C"/>
          <w:sz w:val="22"/>
          <w:szCs w:val="22"/>
        </w:rPr>
        <w:t xml:space="preserve">The palette revolves around dark-navy space for premium depth, paired with a blue/red dichotomy for the core income/expense story and a warm gold accent for balance.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1600"/>
        <w:gridCol w:w="2000"/>
        <w:gridCol w:w="2360"/>
      </w:tblGrid>
      <w:tr>
        <w:tc>
          <w:tcPr>
            <w:tcW w:type="dxa" w:w="1200"/>
            <w:tcBorders>
              <w:top w:val="single" w:color="DDE3EE" w:sz="6"/>
              <w:left w:val="single" w:color="DDE3EE" w:sz="6"/>
              <w:bottom w:val="single" w:color="DDE3EE" w:sz="6"/>
              <w:right w:val="single" w:color="DDE3EE" w:sz="6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0A237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DDE3EE" w:sz="6"/>
              <w:left w:val="single" w:color="DDE3EE" w:sz="6"/>
              <w:bottom w:val="single" w:color="DDE3EE" w:sz="6"/>
              <w:right w:val="single" w:color="DDE3EE" w:sz="6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0A2370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DDE3EE" w:sz="6"/>
              <w:left w:val="single" w:color="DDE3EE" w:sz="6"/>
              <w:bottom w:val="single" w:color="DDE3EE" w:sz="6"/>
              <w:right w:val="single" w:color="DDE3EE" w:sz="6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0A2370"/>
                <w:sz w:val="20"/>
                <w:szCs w:val="20"/>
              </w:rPr>
              <w:t xml:space="preserve">Hex</w:t>
            </w:r>
          </w:p>
        </w:tc>
        <w:tc>
          <w:tcPr>
            <w:tcW w:type="dxa" w:w="2000"/>
            <w:tcBorders>
              <w:top w:val="single" w:color="DDE3EE" w:sz="6"/>
              <w:left w:val="single" w:color="DDE3EE" w:sz="6"/>
              <w:bottom w:val="single" w:color="DDE3EE" w:sz="6"/>
              <w:right w:val="single" w:color="DDE3EE" w:sz="6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0A2370"/>
                <w:sz w:val="20"/>
                <w:szCs w:val="20"/>
              </w:rPr>
              <w:t xml:space="preserve">RGB</w:t>
            </w:r>
          </w:p>
        </w:tc>
        <w:tc>
          <w:tcPr>
            <w:tcW w:type="dxa" w:w="2360"/>
            <w:tcBorders>
              <w:top w:val="single" w:color="DDE3EE" w:sz="6"/>
              <w:left w:val="single" w:color="DDE3EE" w:sz="6"/>
              <w:bottom w:val="single" w:color="DDE3EE" w:sz="6"/>
              <w:right w:val="single" w:color="DDE3EE" w:sz="6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0A2370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200"/>
            <w:tcBorders>
              <w:top w:val="single" w:color="DDE3EE" w:sz="6"/>
              <w:left w:val="single" w:color="DDE3EE" w:sz="6"/>
              <w:bottom w:val="single" w:color="DDE3EE" w:sz="6"/>
              <w:right w:val="single" w:color="DDE3EE" w:sz="6"/>
            </w:tcBorders>
            <w:shd w:fill="07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DDE3EE" w:sz="6"/>
              <w:left w:val="single" w:color="DDE3EE" w:sz="6"/>
              <w:bottom w:val="single" w:color="DDE3EE" w:sz="6"/>
              <w:right w:val="single" w:color="DDE3EE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Brand Space</w:t>
            </w:r>
          </w:p>
        </w:tc>
        <w:tc>
          <w:tcPr>
            <w:tcW w:type="dxa" w:w="1600"/>
            <w:tcBorders>
              <w:top w:val="single" w:color="DDE3EE" w:sz="6"/>
              <w:left w:val="single" w:color="DDE3EE" w:sz="6"/>
              <w:bottom w:val="single" w:color="DDE3EE" w:sz="6"/>
              <w:right w:val="single" w:color="DDE3EE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#07102E</w:t>
            </w:r>
          </w:p>
        </w:tc>
        <w:tc>
          <w:tcPr>
            <w:tcW w:type="dxa" w:w="2000"/>
            <w:tcBorders>
              <w:top w:val="single" w:color="DDE3EE" w:sz="6"/>
              <w:left w:val="single" w:color="DDE3EE" w:sz="6"/>
              <w:bottom w:val="single" w:color="DDE3EE" w:sz="6"/>
              <w:right w:val="single" w:color="DDE3EE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7, 16, 46</w:t>
            </w:r>
          </w:p>
        </w:tc>
        <w:tc>
          <w:tcPr>
            <w:tcW w:type="dxa" w:w="2360"/>
            <w:tcBorders>
              <w:top w:val="single" w:color="DDE3EE" w:sz="6"/>
              <w:left w:val="single" w:color="DDE3EE" w:sz="6"/>
              <w:bottom w:val="single" w:color="DDE3EE" w:sz="6"/>
              <w:right w:val="single" w:color="DDE3EE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dark surface; app backgrounds, hero sections.</w:t>
            </w:r>
          </w:p>
        </w:tc>
      </w:tr>
      <w:tr>
        <w:tc>
          <w:tcPr>
            <w:tcW w:type="dxa" w:w="1200"/>
            <w:tcBorders>
              <w:top w:val="single" w:color="DDE3EE" w:sz="6"/>
              <w:left w:val="single" w:color="DDE3EE" w:sz="6"/>
              <w:bottom w:val="single" w:color="DDE3EE" w:sz="6"/>
              <w:right w:val="single" w:color="DDE3EE" w:sz="6"/>
            </w:tcBorders>
            <w:shd w:fill="0A23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DDE3EE" w:sz="6"/>
              <w:left w:val="single" w:color="DDE3EE" w:sz="6"/>
              <w:bottom w:val="single" w:color="DDE3EE" w:sz="6"/>
              <w:right w:val="single" w:color="DDE3EE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Ink Navy</w:t>
            </w:r>
          </w:p>
        </w:tc>
        <w:tc>
          <w:tcPr>
            <w:tcW w:type="dxa" w:w="1600"/>
            <w:tcBorders>
              <w:top w:val="single" w:color="DDE3EE" w:sz="6"/>
              <w:left w:val="single" w:color="DDE3EE" w:sz="6"/>
              <w:bottom w:val="single" w:color="DDE3EE" w:sz="6"/>
              <w:right w:val="single" w:color="DDE3EE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#0A2370</w:t>
            </w:r>
          </w:p>
        </w:tc>
        <w:tc>
          <w:tcPr>
            <w:tcW w:type="dxa" w:w="2000"/>
            <w:tcBorders>
              <w:top w:val="single" w:color="DDE3EE" w:sz="6"/>
              <w:left w:val="single" w:color="DDE3EE" w:sz="6"/>
              <w:bottom w:val="single" w:color="DDE3EE" w:sz="6"/>
              <w:right w:val="single" w:color="DDE3EE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10, 35, 112</w:t>
            </w:r>
          </w:p>
        </w:tc>
        <w:tc>
          <w:tcPr>
            <w:tcW w:type="dxa" w:w="2360"/>
            <w:tcBorders>
              <w:top w:val="single" w:color="DDE3EE" w:sz="6"/>
              <w:left w:val="single" w:color="DDE3EE" w:sz="6"/>
              <w:bottom w:val="single" w:color="DDE3EE" w:sz="6"/>
              <w:right w:val="single" w:color="DDE3EE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Headings and body text on light surfaces.</w:t>
            </w:r>
          </w:p>
        </w:tc>
      </w:tr>
      <w:tr>
        <w:tc>
          <w:tcPr>
            <w:tcW w:type="dxa" w:w="1200"/>
            <w:tcBorders>
              <w:top w:val="single" w:color="DDE3EE" w:sz="6"/>
              <w:left w:val="single" w:color="DDE3EE" w:sz="6"/>
              <w:bottom w:val="single" w:color="DDE3EE" w:sz="6"/>
              <w:right w:val="single" w:color="DDE3EE" w:sz="6"/>
            </w:tcBorders>
            <w:shd w:fill="1E6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DDE3EE" w:sz="6"/>
              <w:left w:val="single" w:color="DDE3EE" w:sz="6"/>
              <w:bottom w:val="single" w:color="DDE3EE" w:sz="6"/>
              <w:right w:val="single" w:color="DDE3EE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Income Blue</w:t>
            </w:r>
          </w:p>
        </w:tc>
        <w:tc>
          <w:tcPr>
            <w:tcW w:type="dxa" w:w="1600"/>
            <w:tcBorders>
              <w:top w:val="single" w:color="DDE3EE" w:sz="6"/>
              <w:left w:val="single" w:color="DDE3EE" w:sz="6"/>
              <w:bottom w:val="single" w:color="DDE3EE" w:sz="6"/>
              <w:right w:val="single" w:color="DDE3EE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#1E64EE</w:t>
            </w:r>
          </w:p>
        </w:tc>
        <w:tc>
          <w:tcPr>
            <w:tcW w:type="dxa" w:w="2000"/>
            <w:tcBorders>
              <w:top w:val="single" w:color="DDE3EE" w:sz="6"/>
              <w:left w:val="single" w:color="DDE3EE" w:sz="6"/>
              <w:bottom w:val="single" w:color="DDE3EE" w:sz="6"/>
              <w:right w:val="single" w:color="DDE3EE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30, 100, 238</w:t>
            </w:r>
          </w:p>
        </w:tc>
        <w:tc>
          <w:tcPr>
            <w:tcW w:type="dxa" w:w="2360"/>
            <w:tcBorders>
              <w:top w:val="single" w:color="DDE3EE" w:sz="6"/>
              <w:left w:val="single" w:color="DDE3EE" w:sz="6"/>
              <w:bottom w:val="single" w:color="DDE3EE" w:sz="6"/>
              <w:right w:val="single" w:color="DDE3EE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 numbers, income, primary CTAs.</w:t>
            </w:r>
          </w:p>
        </w:tc>
      </w:tr>
      <w:tr>
        <w:tc>
          <w:tcPr>
            <w:tcW w:type="dxa" w:w="1200"/>
            <w:tcBorders>
              <w:top w:val="single" w:color="DDE3EE" w:sz="6"/>
              <w:left w:val="single" w:color="DDE3EE" w:sz="6"/>
              <w:bottom w:val="single" w:color="DDE3EE" w:sz="6"/>
              <w:right w:val="single" w:color="DDE3EE" w:sz="6"/>
            </w:tcBorders>
            <w:shd w:fill="DC22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DDE3EE" w:sz="6"/>
              <w:left w:val="single" w:color="DDE3EE" w:sz="6"/>
              <w:bottom w:val="single" w:color="DDE3EE" w:sz="6"/>
              <w:right w:val="single" w:color="DDE3EE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Expense Red</w:t>
            </w:r>
          </w:p>
        </w:tc>
        <w:tc>
          <w:tcPr>
            <w:tcW w:type="dxa" w:w="1600"/>
            <w:tcBorders>
              <w:top w:val="single" w:color="DDE3EE" w:sz="6"/>
              <w:left w:val="single" w:color="DDE3EE" w:sz="6"/>
              <w:bottom w:val="single" w:color="DDE3EE" w:sz="6"/>
              <w:right w:val="single" w:color="DDE3EE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#DC223B</w:t>
            </w:r>
          </w:p>
        </w:tc>
        <w:tc>
          <w:tcPr>
            <w:tcW w:type="dxa" w:w="2000"/>
            <w:tcBorders>
              <w:top w:val="single" w:color="DDE3EE" w:sz="6"/>
              <w:left w:val="single" w:color="DDE3EE" w:sz="6"/>
              <w:bottom w:val="single" w:color="DDE3EE" w:sz="6"/>
              <w:right w:val="single" w:color="DDE3EE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220, 34, 59</w:t>
            </w:r>
          </w:p>
        </w:tc>
        <w:tc>
          <w:tcPr>
            <w:tcW w:type="dxa" w:w="2360"/>
            <w:tcBorders>
              <w:top w:val="single" w:color="DDE3EE" w:sz="6"/>
              <w:left w:val="single" w:color="DDE3EE" w:sz="6"/>
              <w:bottom w:val="single" w:color="DDE3EE" w:sz="6"/>
              <w:right w:val="single" w:color="DDE3EE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Negative numbers, expenses, destructive actions.</w:t>
            </w:r>
          </w:p>
        </w:tc>
      </w:tr>
      <w:tr>
        <w:tc>
          <w:tcPr>
            <w:tcW w:type="dxa" w:w="1200"/>
            <w:tcBorders>
              <w:top w:val="single" w:color="DDE3EE" w:sz="6"/>
              <w:left w:val="single" w:color="DDE3EE" w:sz="6"/>
              <w:bottom w:val="single" w:color="DDE3EE" w:sz="6"/>
              <w:right w:val="single" w:color="DDE3EE" w:sz="6"/>
            </w:tcBorders>
            <w:shd w:fill="FFD5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DDE3EE" w:sz="6"/>
              <w:left w:val="single" w:color="DDE3EE" w:sz="6"/>
              <w:bottom w:val="single" w:color="DDE3EE" w:sz="6"/>
              <w:right w:val="single" w:color="DDE3EE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Balance Gold</w:t>
            </w:r>
          </w:p>
        </w:tc>
        <w:tc>
          <w:tcPr>
            <w:tcW w:type="dxa" w:w="1600"/>
            <w:tcBorders>
              <w:top w:val="single" w:color="DDE3EE" w:sz="6"/>
              <w:left w:val="single" w:color="DDE3EE" w:sz="6"/>
              <w:bottom w:val="single" w:color="DDE3EE" w:sz="6"/>
              <w:right w:val="single" w:color="DDE3EE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#FFD56B</w:t>
            </w:r>
          </w:p>
        </w:tc>
        <w:tc>
          <w:tcPr>
            <w:tcW w:type="dxa" w:w="2000"/>
            <w:tcBorders>
              <w:top w:val="single" w:color="DDE3EE" w:sz="6"/>
              <w:left w:val="single" w:color="DDE3EE" w:sz="6"/>
              <w:bottom w:val="single" w:color="DDE3EE" w:sz="6"/>
              <w:right w:val="single" w:color="DDE3EE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255, 213, 107</w:t>
            </w:r>
          </w:p>
        </w:tc>
        <w:tc>
          <w:tcPr>
            <w:tcW w:type="dxa" w:w="2360"/>
            <w:tcBorders>
              <w:top w:val="single" w:color="DDE3EE" w:sz="6"/>
              <w:left w:val="single" w:color="DDE3EE" w:sz="6"/>
              <w:bottom w:val="single" w:color="DDE3EE" w:sz="6"/>
              <w:right w:val="single" w:color="DDE3EE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Balance, net, highlights. Use sparingly.</w:t>
            </w:r>
          </w:p>
        </w:tc>
      </w:tr>
      <w:tr>
        <w:tc>
          <w:tcPr>
            <w:tcW w:type="dxa" w:w="1200"/>
            <w:tcBorders>
              <w:top w:val="single" w:color="DDE3EE" w:sz="6"/>
              <w:left w:val="single" w:color="DDE3EE" w:sz="6"/>
              <w:bottom w:val="single" w:color="DDE3EE" w:sz="6"/>
              <w:right w:val="single" w:color="DDE3EE" w:sz="6"/>
            </w:tcBorders>
            <w:shd w:fill="F8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DDE3EE" w:sz="6"/>
              <w:left w:val="single" w:color="DDE3EE" w:sz="6"/>
              <w:bottom w:val="single" w:color="DDE3EE" w:sz="6"/>
              <w:right w:val="single" w:color="DDE3EE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Paper</w:t>
            </w:r>
          </w:p>
        </w:tc>
        <w:tc>
          <w:tcPr>
            <w:tcW w:type="dxa" w:w="1600"/>
            <w:tcBorders>
              <w:top w:val="single" w:color="DDE3EE" w:sz="6"/>
              <w:left w:val="single" w:color="DDE3EE" w:sz="6"/>
              <w:bottom w:val="single" w:color="DDE3EE" w:sz="6"/>
              <w:right w:val="single" w:color="DDE3EE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#F8FAFD</w:t>
            </w:r>
          </w:p>
        </w:tc>
        <w:tc>
          <w:tcPr>
            <w:tcW w:type="dxa" w:w="2000"/>
            <w:tcBorders>
              <w:top w:val="single" w:color="DDE3EE" w:sz="6"/>
              <w:left w:val="single" w:color="DDE3EE" w:sz="6"/>
              <w:bottom w:val="single" w:color="DDE3EE" w:sz="6"/>
              <w:right w:val="single" w:color="DDE3EE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248, 250, 253</w:t>
            </w:r>
          </w:p>
        </w:tc>
        <w:tc>
          <w:tcPr>
            <w:tcW w:type="dxa" w:w="2360"/>
            <w:tcBorders>
              <w:top w:val="single" w:color="DDE3EE" w:sz="6"/>
              <w:left w:val="single" w:color="DDE3EE" w:sz="6"/>
              <w:bottom w:val="single" w:color="DDE3EE" w:sz="6"/>
              <w:right w:val="single" w:color="DDE3EE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 surfaces, cards.</w:t>
            </w:r>
          </w:p>
        </w:tc>
      </w:tr>
      <w:tr>
        <w:tc>
          <w:tcPr>
            <w:tcW w:type="dxa" w:w="1200"/>
            <w:tcBorders>
              <w:top w:val="single" w:color="DDE3EE" w:sz="6"/>
              <w:left w:val="single" w:color="DDE3EE" w:sz="6"/>
              <w:bottom w:val="single" w:color="DDE3EE" w:sz="6"/>
              <w:right w:val="single" w:color="DDE3EE" w:sz="6"/>
            </w:tcBorders>
            <w:shd w:fill="AAB4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DDE3EE" w:sz="6"/>
              <w:left w:val="single" w:color="DDE3EE" w:sz="6"/>
              <w:bottom w:val="single" w:color="DDE3EE" w:sz="6"/>
              <w:right w:val="single" w:color="DDE3EE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Muted</w:t>
            </w:r>
          </w:p>
        </w:tc>
        <w:tc>
          <w:tcPr>
            <w:tcW w:type="dxa" w:w="1600"/>
            <w:tcBorders>
              <w:top w:val="single" w:color="DDE3EE" w:sz="6"/>
              <w:left w:val="single" w:color="DDE3EE" w:sz="6"/>
              <w:bottom w:val="single" w:color="DDE3EE" w:sz="6"/>
              <w:right w:val="single" w:color="DDE3EE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#AAB4C8</w:t>
            </w:r>
          </w:p>
        </w:tc>
        <w:tc>
          <w:tcPr>
            <w:tcW w:type="dxa" w:w="2000"/>
            <w:tcBorders>
              <w:top w:val="single" w:color="DDE3EE" w:sz="6"/>
              <w:left w:val="single" w:color="DDE3EE" w:sz="6"/>
              <w:bottom w:val="single" w:color="DDE3EE" w:sz="6"/>
              <w:right w:val="single" w:color="DDE3EE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170, 180, 200</w:t>
            </w:r>
          </w:p>
        </w:tc>
        <w:tc>
          <w:tcPr>
            <w:tcW w:type="dxa" w:w="2360"/>
            <w:tcBorders>
              <w:top w:val="single" w:color="DDE3EE" w:sz="6"/>
              <w:left w:val="single" w:color="DDE3EE" w:sz="6"/>
              <w:bottom w:val="single" w:color="DDE3EE" w:sz="6"/>
              <w:right w:val="single" w:color="DDE3EE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Secondary text, borders, disabled states.</w:t>
            </w:r>
          </w:p>
        </w:tc>
      </w:tr>
    </w:tbl>
    <w:p>
      <w:pPr>
        <w:spacing w:after="240"/>
      </w:pPr>
    </w:p>
    <w:p>
      <w:pPr>
        <w:spacing w:after="240" w:before="120"/>
        <w:jc w:val="center"/>
      </w:pPr>
      <w:r>
        <w:drawing>
          <wp:inline distT="0" distB="0" distL="0" distR="0">
            <wp:extent cx="5334000" cy="4000500"/>
            <wp:effectExtent t="0" r="0" b="0" l="0"/>
            <wp:docPr id="1" name="palette.png" descr="palette.png" title="palet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00" w:before="220"/>
      </w:pPr>
      <w:r>
        <w:rPr>
          <w:rFonts w:ascii="Poppins" w:cs="Poppins" w:eastAsia="Poppins" w:hAnsi="Poppins"/>
          <w:color w:val="0A2370"/>
        </w:rPr>
        <w:t xml:space="preserve">Usage Ratios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60% — Brand Space / Paper for surfaces.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25% — Ink Navy / Income Blue for primary content.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10% — Expense Red for expenses and negative numerics.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5%  — Balance Gold for highlights, celebrations, net-positive.</w:t>
      </w:r>
    </w:p>
    <w:p>
      <w:pPr>
        <w:pStyle w:val="Heading1"/>
        <w:spacing w:after="180" w:before="360"/>
      </w:pPr>
      <w:r>
        <w:rPr>
          <w:rFonts w:ascii="Poppins" w:cs="Poppins" w:eastAsia="Poppins" w:hAnsi="Poppins"/>
          <w:color w:val="0A2370"/>
        </w:rPr>
        <w:t xml:space="preserve">4. Typography</w:t>
      </w:r>
    </w:p>
    <w:p>
      <w:pPr>
        <w:spacing w:after="120"/>
      </w:pPr>
      <w:r>
        <w:rPr>
          <w:rFonts w:ascii="Arial" w:cs="Arial" w:eastAsia="Arial" w:hAnsi="Arial"/>
          <w:color w:val="2A2F3C"/>
          <w:sz w:val="22"/>
          <w:szCs w:val="22"/>
        </w:rPr>
        <w:t xml:space="preserve">Poppins is the brand typeface. It's geometric, warm, and highly legible at small sizes on screen. Use system fallbacks when Poppins isn't available: SF Pro Display (iOS/macOS), Segoe UI (Windows), Roboto (Android, Web).</w:t>
      </w:r>
    </w:p>
    <w:p>
      <w:pPr>
        <w:spacing w:after="240" w:before="120"/>
        <w:jc w:val="center"/>
      </w:pPr>
      <w:r>
        <w:drawing>
          <wp:inline distT="0" distB="0" distL="0" distR="0">
            <wp:extent cx="5334000" cy="2219325"/>
            <wp:effectExtent t="0" r="0" b="0" l="0"/>
            <wp:docPr id="1" name="typography.png" descr="typography.png" title="typograph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00" w:before="220"/>
      </w:pPr>
      <w:r>
        <w:rPr>
          <w:rFonts w:ascii="Poppins" w:cs="Poppins" w:eastAsia="Poppins" w:hAnsi="Poppins"/>
          <w:color w:val="0A2370"/>
        </w:rPr>
        <w:t xml:space="preserve">Type Scale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Display — Poppins Bold, 48–72pt. Titles and hero banners.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H1 — Poppins Bold, 32pt.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H2 — Poppins SemiBold, 24pt.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Body — Poppins Regular, 16pt, 1.5 line height.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Caption — Poppins Medium, 12pt, tracking +0.01em.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Numerics — Poppins Bold, tabular-nums, right-aligned in tables.</w:t>
      </w:r>
    </w:p>
    <w:p>
      <w:pPr>
        <w:pStyle w:val="Heading1"/>
        <w:spacing w:after="180" w:before="360"/>
      </w:pPr>
      <w:r>
        <w:rPr>
          <w:rFonts w:ascii="Poppins" w:cs="Poppins" w:eastAsia="Poppins" w:hAnsi="Poppins"/>
          <w:color w:val="0A2370"/>
        </w:rPr>
        <w:t xml:space="preserve">5. App Icons</w:t>
      </w:r>
    </w:p>
    <w:p>
      <w:pPr>
        <w:spacing w:after="120"/>
      </w:pPr>
      <w:r>
        <w:rPr>
          <w:rFonts w:ascii="Arial" w:cs="Arial" w:eastAsia="Arial" w:hAnsi="Arial"/>
          <w:color w:val="2A2F3C"/>
          <w:sz w:val="22"/>
          <w:szCs w:val="22"/>
        </w:rPr>
        <w:t xml:space="preserve">Full iOS and macOS App Icon sets are included in this package at AppStore/iOS/AppIcon.appiconset and AppStore/macOS/AppIcon.appiconset. iOS assets include 1024-px Any/Dark/Tinted appearance variants for iOS 18+.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iOS: drag AppIcon.appiconset into Xcode Assets.xcassets.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macOS: drag AppIcon.appiconset into the Mac target's assets, or run `iconutil -c icns AppIcon.iconset` to produce an .icns file.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Web: favicon.ico, apple-touch-icon.png (180), android-chrome 192/512 and site.webmanifest are in the Web/ folder.</w:t>
      </w:r>
    </w:p>
    <w:p>
      <w:pPr>
        <w:pStyle w:val="Heading1"/>
        <w:spacing w:after="180" w:before="360"/>
      </w:pPr>
      <w:r>
        <w:rPr>
          <w:rFonts w:ascii="Poppins" w:cs="Poppins" w:eastAsia="Poppins" w:hAnsi="Poppins"/>
          <w:color w:val="0A2370"/>
        </w:rPr>
        <w:t xml:space="preserve">6. Social &amp; Marketing</w:t>
      </w:r>
    </w:p>
    <w:p>
      <w:pPr>
        <w:spacing w:after="120"/>
      </w:pPr>
      <w:r>
        <w:rPr>
          <w:rFonts w:ascii="Arial" w:cs="Arial" w:eastAsia="Arial" w:hAnsi="Arial"/>
          <w:color w:val="2A2F3C"/>
          <w:sz w:val="22"/>
          <w:szCs w:val="22"/>
        </w:rPr>
        <w:t xml:space="preserve">Pre-rendered banners are provided in Social/ at the following native sizes: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X / Twitter header — 1500 × 500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LinkedIn banner — 1584 × 396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Facebook cover — 1640 × 624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Instagram square — 1080 × 1080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Instagram story — 1080 × 1920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Website hero (dark &amp; light) — 2560 × 1440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Graph card — 1200 × 630 (in Web/)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Product Hunt — 1270 × 760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Email header — 1200 × 300</w:t>
      </w:r>
    </w:p>
    <w:p>
      <w:pPr>
        <w:spacing w:after="240" w:before="120"/>
        <w:jc w:val="center"/>
      </w:pPr>
      <w:r>
        <w:drawing>
          <wp:inline distT="0" distB="0" distL="0" distR="0">
            <wp:extent cx="5334000" cy="1781175"/>
            <wp:effectExtent t="0" r="0" b="0" l="0"/>
            <wp:docPr id="1" name="twitter-header-1500x500.png" descr="twitter-header-1500x500.png" title="twitter-header-1500x5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120"/>
        <w:jc w:val="center"/>
      </w:pPr>
      <w:r>
        <w:drawing>
          <wp:inline distT="0" distB="0" distL="0" distR="0">
            <wp:extent cx="3990975" cy="2095500"/>
            <wp:effectExtent t="0" r="0" b="0" l="0"/>
            <wp:docPr id="1" name="og-image-1200x630.png" descr="og-image-1200x630.png" title="og-image-1200x6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80" w:before="360"/>
      </w:pPr>
      <w:r>
        <w:rPr>
          <w:rFonts w:ascii="Poppins" w:cs="Poppins" w:eastAsia="Poppins" w:hAnsi="Poppins"/>
          <w:color w:val="0A2370"/>
        </w:rPr>
        <w:t xml:space="preserve">7. Motion &amp; Feel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Numeric counters tick up with a light-ease motion (200–300ms).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Balance changes use a brief gold-pulse glow on transitions crossing $0.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Peaks may gently parallax on hero scroll; never exaggerate.</w:t>
      </w:r>
    </w:p>
    <w:p>
      <w:pPr>
        <w:pStyle w:val="Heading1"/>
        <w:spacing w:after="180" w:before="360"/>
      </w:pPr>
      <w:r>
        <w:rPr>
          <w:rFonts w:ascii="Poppins" w:cs="Poppins" w:eastAsia="Poppins" w:hAnsi="Poppins"/>
          <w:color w:val="0A2370"/>
        </w:rPr>
        <w:t xml:space="preserve">8. Asset Index</w:t>
      </w:r>
    </w:p>
    <w:p>
      <w:pPr>
        <w:spacing w:after="120"/>
      </w:pPr>
      <w:r>
        <w:rPr>
          <w:rFonts w:ascii="Arial" w:cs="Arial" w:eastAsia="Arial" w:hAnsi="Arial"/>
          <w:color w:val="2A2F3C"/>
          <w:sz w:val="22"/>
          <w:szCs w:val="22"/>
        </w:rPr>
        <w:t xml:space="preserve">This package contains, in addition to this guide: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AppStore/iOS/ and AppStore/macOS/ — Xcode-ready icon sets.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Logo/ — icon-only, horizontal, stacked, and wordmark assets in light and dark variants.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Web/ — favicons, apple-touch-icon, webmanifest, OG card.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Social/ — banners at all platform-native sizes.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StyleGuide/assets/ — palette, typography, do-and-don't, clearspace imagery used in this document.</w:t>
      </w:r>
    </w:p>
    <w:p>
      <w:pPr>
        <w:spacing w:after="300"/>
      </w:pPr>
    </w:p>
    <w:p>
      <w:pPr>
        <w:jc w:val="center"/>
      </w:pPr>
      <w:r>
        <w:rPr>
          <w:rFonts w:ascii="Poppins" w:cs="Poppins" w:eastAsia="Poppins" w:hAnsi="Poppins"/>
          <w:color w:val="8892A8"/>
          <w:sz w:val="20"/>
          <w:szCs w:val="20"/>
        </w:rPr>
        <w:t xml:space="preserve">— moolah.rocks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92A8"/>
        <w:sz w:val="18"/>
        <w:szCs w:val="18"/>
      </w:rPr>
      <w:t xml:space="preserve">Page </w:t>
    </w:r>
    <w:r>
      <w:rPr>
        <w:rFonts w:ascii="Arial" w:cs="Arial" w:eastAsia="Arial" w:hAnsi="Arial"/>
        <w:color w:val="8892A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Poppins" w:cs="Poppins" w:eastAsia="Poppins" w:hAnsi="Poppins"/>
        <w:color w:val="8892A8"/>
        <w:sz w:val="18"/>
        <w:szCs w:val="18"/>
      </w:rPr>
      <w:t xml:space="preserve">moolah.rocks · Brand Style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Poppins" w:cs="Poppins" w:eastAsia="Poppins" w:hAnsi="Poppins"/>
      <w:b/>
      <w:bCs/>
      <w:color w:val="0A2370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Poppins" w:cs="Poppins" w:eastAsia="Poppins" w:hAnsi="Poppins"/>
      <w:b/>
      <w:bCs/>
      <w:color w:val="0A2370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Poppins" w:cs="Poppins" w:eastAsia="Poppins" w:hAnsi="Poppins"/>
      <w:b/>
      <w:bCs/>
      <w:color w:val="0A237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b5bd7f49dde318042febd0ccdf2bcc7e20e095c.png"/><Relationship Id="rId10" Type="http://schemas.openxmlformats.org/officeDocument/2006/relationships/image" Target="media/134cd5ff40d8d4a9fe345411a49c6e0cad8e0abe.png"/><Relationship Id="rId11" Type="http://schemas.openxmlformats.org/officeDocument/2006/relationships/image" Target="media/8dfb7932a94e20cbf70797779075455f519acd6e.png"/><Relationship Id="rId12" Type="http://schemas.openxmlformats.org/officeDocument/2006/relationships/image" Target="media/0ac54ee63204a9d8186a0b2cd4a02d662d1528f3.png"/><Relationship Id="rId13" Type="http://schemas.openxmlformats.org/officeDocument/2006/relationships/image" Target="media/dbc410bcd79a1b0e5a70154dd2c16aea713a79c7.png"/><Relationship Id="rId14" Type="http://schemas.openxmlformats.org/officeDocument/2006/relationships/image" Target="media/33ff373b6ffc1d99a845530cd22ac6b3726b0cf6.png"/><Relationship Id="rId15" Type="http://schemas.openxmlformats.org/officeDocument/2006/relationships/image" Target="media/f2760e99a07f8f4246c9220c4b0fb0a4874929cc.png"/><Relationship Id="rId16" Type="http://schemas.openxmlformats.org/officeDocument/2006/relationships/image" Target="media/98f3177c8572fffb98b50934b05ce69a217e047e.png"/><Relationship Id="rId17" Type="http://schemas.openxmlformats.org/officeDocument/2006/relationships/image" Target="media/6b96cfd362b85894d85dc2b3ba6eb45dd1ab548a.png"/><Relationship Id="rId18" Type="http://schemas.openxmlformats.org/officeDocument/2006/relationships/image" Target="media/85e5662d990f81721084a22fde67f46c1d7d239a.png"/><Relationship Id="rId19" Type="http://schemas.openxmlformats.org/officeDocument/2006/relationships/image" Target="media/369a9d33db6b20d477fe9e639947bd3f6231138f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moolah.rocks Brand Style Guide</dc:title>
  <dc:creator>moolah.rocks</dc:creator>
  <cp:lastModifiedBy>Un-named</cp:lastModifiedBy>
  <cp:revision>1</cp:revision>
  <dcterms:created xsi:type="dcterms:W3CDTF">2026-04-14T10:33:24.967Z</dcterms:created>
  <dcterms:modified xsi:type="dcterms:W3CDTF">2026-04-14T10:33:24.967Z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