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604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hite-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0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color w:val="075056"/>
          <w:sz w:val="26"/>
        </w:rPr>
        <w:t>PERFICIENT · GLOBAL AI FIRST ACADEMY</w:t>
      </w:r>
    </w:p>
    <w:p>
      <w:pPr>
        <w:jc w:val="center"/>
      </w:pPr>
      <w:r>
        <w:rPr>
          <w:rFonts w:ascii="Aptos" w:hAnsi="Aptos"/>
          <w:i/>
          <w:color w:val="1B2227"/>
          <w:sz w:val="22"/>
        </w:rPr>
        <w:t>AI Certifications — Capstone Review · Option 04 Case Study AI Challenge</w:t>
      </w:r>
    </w:p>
    <w:p>
      <w:pPr>
        <w:jc w:val="center"/>
      </w:pPr>
      <w:r>
        <w:rPr>
          <w:rFonts w:ascii="Aptos" w:hAnsi="Aptos"/>
          <w:b/>
          <w:color w:val="075056"/>
          <w:sz w:val="22"/>
        </w:rPr>
        <w:t>Julian Largo Ramirez  ·  L1  ·  L1_Case05 — Open Choice: Cypress-to-Playwright Test Migration  ·  Recommendation: Certified</w:t>
      </w:r>
    </w:p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A NOTE FROM THE CHIEF LEARNING OFFICER</w:t>
      </w:r>
    </w:p>
    <w:p>
      <w:r>
        <w:rPr>
          <w:rFonts w:ascii="Aptos" w:hAnsi="Aptos"/>
          <w:b w:val="0"/>
          <w:i w:val="0"/>
          <w:color w:val="1B2227"/>
          <w:sz w:val="22"/>
        </w:rPr>
        <w:t>This is a well-scoped, honestly documented piece of work. The problem is specific (migrating a Cypress TypeScript suite to Playwright Python BDD for a client engagement), the user is named, and the success definition is stated as four testable criteria rather than gestured at. The data source is a real public demo application with its provenance, limitations, and a genuinely observed complication — the shared demo's data drifted between when requirements were written and when you explored it — disclosed in specific, checkable detail rather than glossed over.</w:t>
      </w:r>
    </w:p>
    <w:p>
      <w:r>
        <w:rPr>
          <w:rFonts w:ascii="Aptos" w:hAnsi="Aptos"/>
          <w:b w:val="0"/>
          <w:i w:val="0"/>
          <w:color w:val="1B2227"/>
          <w:sz w:val="22"/>
        </w:rPr>
        <w:t>Your AI output review is the strongest in this batch: three real, specific errors caught and corrected — an import-shadowing bug that failed test collection entirely, a pinned dependency that wouldn't install without C++ build tools, and a demo-data mismatch between the requirements doc and the live app — each with the exact before/after code, root cause, and fix. Your measured_improvement.md for REQ-006 is a genuine before/after: a real failing test ("AssertionError: No directory card found containing 'Julian'"), a real fix (condition-based wait replacing a fixed sleep), and a real passing result, with an honest "what got worse" section that actually reasons about the trade-off rather than just asserting nothing changed for the worse.</w:t>
      </w:r>
    </w:p>
    <w:p>
      <w:r>
        <w:rPr>
          <w:rFonts w:ascii="Aptos" w:hAnsi="Aptos"/>
          <w:b w:val="0"/>
          <w:i w:val="0"/>
          <w:color w:val="1B2227"/>
          <w:sz w:val="22"/>
        </w:rPr>
        <w:t>This review installed your dependencies and ran your Playwright test suite live against the real public OrangeHRM demo. It collected cleanly (8 tests, matching your declared scope), but 3 of 4 tests attempted got stuck on the login page rather than reaching the dashboard — consistent with, and not contradicting, the demo instability you already documented yourself in failure_analysis.md. This review cannot confirm your claimed "8/8 passing" follow-up session from this alone; it is reported here as inconclusive rather than as a finding against you.</w:t>
      </w:r>
    </w:p>
    <w:p>
      <w:r>
        <w:rPr>
          <w:rFonts w:ascii="Aptos" w:hAnsi="Aptos"/>
          <w:b w:val="0"/>
          <w:i w:val="0"/>
          <w:color w:val="1B2227"/>
          <w:sz w:val="22"/>
        </w:rPr>
        <w:t>The one real, disclosed gap is spec-driven process: your docs read like a genuine spec, but there is no git repository at all, so the sequence (spec before code) cannot be verified from history — and you say so yourself in declared_effort.md rather than hiding it. Per this case's own rule, that caps the spec-driven dimension regardless of how well the documents read.</w:t>
      </w:r>
    </w:p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SCORE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C5DCEE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20"/>
            <w:shd w:val="clear" w:fill="C5DCEE"/>
          </w:tcPr>
          <w:p>
            <w:r>
              <w:rPr>
                <w:b/>
              </w:rPr>
              <w:t>Bonus</w:t>
            </w:r>
          </w:p>
        </w:tc>
        <w:tc>
          <w:tcPr>
            <w:tcW w:type="dxa" w:w="3120"/>
            <w:shd w:val="clear" w:fill="C5DCEE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3120"/>
          </w:tcPr>
          <w:p>
            <w:r>
              <w:t>81 / 100</w:t>
            </w:r>
          </w:p>
        </w:tc>
        <w:tc>
          <w:tcPr>
            <w:tcW w:type="dxa" w:w="3120"/>
          </w:tcPr>
          <w:p>
            <w:r>
              <w:t>14 / 20</w:t>
            </w:r>
          </w:p>
        </w:tc>
        <w:tc>
          <w:tcPr>
            <w:tcW w:type="dxa" w:w="3120"/>
          </w:tcPr>
          <w:p>
            <w:r>
              <w:t>Certified</w:t>
            </w:r>
          </w:p>
        </w:tc>
      </w:tr>
    </w:tbl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PER-CRITERION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C5DCEE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  <w:shd w:val="clear" w:fill="C5DCEE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3120"/>
            <w:shd w:val="clear" w:fill="C5DCEE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120"/>
          </w:tcPr>
          <w:p>
            <w:r>
              <w:t>Problem definition</w:t>
            </w:r>
          </w:p>
        </w:tc>
        <w:tc>
          <w:tcPr>
            <w:tcW w:type="dxa" w:w="3120"/>
          </w:tcPr>
          <w:p>
            <w:r>
              <w:t>14 / 15</w:t>
            </w:r>
          </w:p>
        </w:tc>
        <w:tc>
          <w:tcPr>
            <w:tcW w:type="dxa" w:w="3120"/>
          </w:tcPr>
          <w:p>
            <w:r>
              <w:t>Specific, named user, four testable success criteria</w:t>
            </w:r>
          </w:p>
        </w:tc>
      </w:tr>
      <w:tr>
        <w:tc>
          <w:tcPr>
            <w:tcW w:type="dxa" w:w="3120"/>
            <w:shd w:val="clear" w:fill="DFE7ED"/>
          </w:tcPr>
          <w:p>
            <w:r>
              <w:t>Data sourcing and provenance</w:t>
            </w:r>
          </w:p>
        </w:tc>
        <w:tc>
          <w:tcPr>
            <w:tcW w:type="dxa" w:w="3120"/>
            <w:shd w:val="clear" w:fill="DFE7ED"/>
          </w:tcPr>
          <w:p>
            <w:r>
              <w:t>15 / 15</w:t>
            </w:r>
          </w:p>
        </w:tc>
        <w:tc>
          <w:tcPr>
            <w:tcW w:type="dxa" w:w="3120"/>
            <w:shd w:val="clear" w:fill="DFE7ED"/>
          </w:tcPr>
          <w:p>
            <w:r>
              <w:t>Real public source, explicit non-representation notes, and a genuinely observed data-drift complication disclosed in specific detail</w:t>
            </w:r>
          </w:p>
        </w:tc>
      </w:tr>
      <w:tr>
        <w:tc>
          <w:tcPr>
            <w:tcW w:type="dxa" w:w="3120"/>
          </w:tcPr>
          <w:p>
            <w:r>
              <w:t>Spec-driven workflow</w:t>
            </w:r>
          </w:p>
        </w:tc>
        <w:tc>
          <w:tcPr>
            <w:tcW w:type="dxa" w:w="3120"/>
          </w:tcPr>
          <w:p>
            <w:r>
              <w:t>3 / 15</w:t>
            </w:r>
          </w:p>
        </w:tc>
        <w:tc>
          <w:tcPr>
            <w:tcW w:type="dxa" w:w="3120"/>
          </w:tcPr>
          <w:p>
            <w:r>
              <w:t>Spec-equivalent docs exist and read well, but no git history exists at all to verify sequence — honestly disclosed, but the case caps this regardless</w:t>
            </w:r>
          </w:p>
        </w:tc>
      </w:tr>
      <w:tr>
        <w:tc>
          <w:tcPr>
            <w:tcW w:type="dxa" w:w="3120"/>
            <w:shd w:val="clear" w:fill="DFE7ED"/>
          </w:tcPr>
          <w:p>
            <w:r>
              <w:t>Context engineering</w:t>
            </w:r>
          </w:p>
        </w:tc>
        <w:tc>
          <w:tcPr>
            <w:tcW w:type="dxa" w:w="3120"/>
            <w:shd w:val="clear" w:fill="DFE7ED"/>
          </w:tcPr>
          <w:p>
            <w:r>
              <w:t>14 / 15</w:t>
            </w:r>
          </w:p>
        </w:tc>
        <w:tc>
          <w:tcPr>
            <w:tcW w:type="dxa" w:w="3120"/>
            <w:shd w:val="clear" w:fill="DFE7ED"/>
          </w:tcPr>
          <w:p>
            <w:r>
              <w:t>Concrete before/after code comparison tied to specific CLAUDE.md rules, each with an observed compliance example</w:t>
            </w:r>
          </w:p>
        </w:tc>
      </w:tr>
      <w:tr>
        <w:tc>
          <w:tcPr>
            <w:tcW w:type="dxa" w:w="3120"/>
          </w:tcPr>
          <w:p>
            <w:r>
              <w:t>RAG or automation implementation</w:t>
            </w:r>
          </w:p>
        </w:tc>
        <w:tc>
          <w:tcPr>
            <w:tcW w:type="dxa" w:w="3120"/>
          </w:tcPr>
          <w:p>
            <w:r>
              <w:t>12 / 15</w:t>
            </w:r>
          </w:p>
        </w:tc>
        <w:tc>
          <w:tcPr>
            <w:tcW w:type="dxa" w:w="3120"/>
          </w:tcPr>
          <w:p>
            <w:r>
              <w:t>Real, structurally sound migration tool-chain that collects cleanly; this review's own live run against the public demo was inconclusive due to demo instability, not a clear pass or fail</w:t>
            </w:r>
          </w:p>
        </w:tc>
      </w:tr>
      <w:tr>
        <w:tc>
          <w:tcPr>
            <w:tcW w:type="dxa" w:w="3120"/>
            <w:shd w:val="clear" w:fill="DFE7ED"/>
          </w:tcPr>
          <w:p>
            <w:r>
              <w:t>AI output review</w:t>
            </w:r>
          </w:p>
        </w:tc>
        <w:tc>
          <w:tcPr>
            <w:tcW w:type="dxa" w:w="3120"/>
            <w:shd w:val="clear" w:fill="DFE7ED"/>
          </w:tcPr>
          <w:p>
            <w:r>
              <w:t>15 / 15</w:t>
            </w:r>
          </w:p>
        </w:tc>
        <w:tc>
          <w:tcPr>
            <w:tcW w:type="dxa" w:w="3120"/>
            <w:shd w:val="clear" w:fill="DFE7ED"/>
          </w:tcPr>
          <w:p>
            <w:r>
              <w:t>Three specific, real errors caught and corrected with full before/after and root cause — the strongest AI output review in this batch</w:t>
            </w:r>
          </w:p>
        </w:tc>
      </w:tr>
      <w:tr>
        <w:tc>
          <w:tcPr>
            <w:tcW w:type="dxa" w:w="3120"/>
          </w:tcPr>
          <w:p>
            <w:r>
              <w:t>Communication</w:t>
            </w:r>
          </w:p>
        </w:tc>
        <w:tc>
          <w:tcPr>
            <w:tcW w:type="dxa" w:w="3120"/>
          </w:tcPr>
          <w:p>
            <w:r>
              <w:t>8 / 10</w:t>
            </w:r>
          </w:p>
        </w:tc>
        <w:tc>
          <w:tcPr>
            <w:tcW w:type="dxa" w:w="3120"/>
          </w:tcPr>
          <w:p>
            <w:r>
              <w:t>A full docs/ folder and stakeholder slide matching the built scope</w:t>
            </w:r>
          </w:p>
        </w:tc>
      </w:tr>
    </w:tbl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DIMENSION MAPPING (SHARED RUBRIC)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C5DCEE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680"/>
            <w:shd w:val="clear" w:fill="C5DCEE"/>
          </w:tcPr>
          <w:p>
            <w:r>
              <w:rPr>
                <w:b/>
              </w:rPr>
              <w:t>Band</w:t>
            </w:r>
          </w:p>
        </w:tc>
      </w:tr>
      <w:tr>
        <w:tc>
          <w:tcPr>
            <w:tcW w:type="dxa" w:w="4680"/>
          </w:tcPr>
          <w:p>
            <w:r>
              <w:t>AI-Powered Development</w:t>
            </w:r>
          </w:p>
        </w:tc>
        <w:tc>
          <w:tcPr>
            <w:tcW w:type="dxa" w:w="4680"/>
          </w:tcPr>
          <w:p>
            <w:r>
              <w:t>Distinction</w:t>
            </w:r>
          </w:p>
        </w:tc>
      </w:tr>
      <w:tr>
        <w:tc>
          <w:tcPr>
            <w:tcW w:type="dxa" w:w="4680"/>
          </w:tcPr>
          <w:p>
            <w:r>
              <w:t>AI Output Review</w:t>
            </w:r>
          </w:p>
        </w:tc>
        <w:tc>
          <w:tcPr>
            <w:tcW w:type="dxa" w:w="4680"/>
          </w:tcPr>
          <w:p>
            <w:r>
              <w:t>Distinction</w:t>
            </w:r>
          </w:p>
        </w:tc>
      </w:tr>
      <w:tr>
        <w:tc>
          <w:tcPr>
            <w:tcW w:type="dxa" w:w="4680"/>
          </w:tcPr>
          <w:p>
            <w:r>
              <w:t>Context Engineering</w:t>
            </w:r>
          </w:p>
        </w:tc>
        <w:tc>
          <w:tcPr>
            <w:tcW w:type="dxa" w:w="4680"/>
          </w:tcPr>
          <w:p>
            <w:r>
              <w:t>Distinction</w:t>
            </w:r>
          </w:p>
        </w:tc>
      </w:tr>
      <w:tr>
        <w:tc>
          <w:tcPr>
            <w:tcW w:type="dxa" w:w="4680"/>
          </w:tcPr>
          <w:p>
            <w:r>
              <w:t>Spec-Driven Development</w:t>
            </w:r>
          </w:p>
        </w:tc>
        <w:tc>
          <w:tcPr>
            <w:tcW w:type="dxa" w:w="4680"/>
          </w:tcPr>
          <w:p>
            <w:r>
              <w:t>Not Yet — capped: no commit history to verify sequence</w:t>
            </w:r>
          </w:p>
        </w:tc>
      </w:tr>
      <w:tr>
        <w:tc>
          <w:tcPr>
            <w:tcW w:type="dxa" w:w="4680"/>
          </w:tcPr>
          <w:p>
            <w:r>
              <w:t>RAG Pipeline</w:t>
            </w:r>
          </w:p>
        </w:tc>
        <w:tc>
          <w:tcPr>
            <w:tcW w:type="dxa" w:w="4680"/>
          </w:tcPr>
          <w:p>
            <w:r>
              <w:t>N/A — not the chosen approach for this problem</w:t>
            </w:r>
          </w:p>
        </w:tc>
      </w:tr>
    </w:tbl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WHAT YOU DID WELL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The best AI-output-review artifact in this review batch: three specific, real, corrected errors with exact before/after code and root cause.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A genuine measured before/after (a real failing test, a real fix, a real passing result) with honest reasoning about the trade-off.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Disclosed a real data-drift problem in the shared public demo, with the exact requirements-doc-vs-live-app mismatch documented rather than silently patched over.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Honestly disclosed the missing git history rather than claiming a spec-driven sequence it can't back up.</w:t>
      </w:r>
    </w:p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WHERE THIS SUBMISSION FALLS SHORT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No git repository exists — initialize one at the start of the next project and commit spec, then plan, then tasks, then implementation as four distinct steps.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This review's own live run against the public demo could not confirm the claimed 8/8-passing follow-up session — capture and include that run's actual console/report output as evidence next time, ideally against a non-shared or containerized instance.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REQ-001's stale requirements document should be updated to match the live-observed values, not just noted as a known divergence.</w:t>
      </w:r>
    </w:p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DISCRIMINATION ITEMS</w:t>
      </w:r>
    </w:p>
    <w:p>
      <w:r>
        <w:rPr>
          <w:rFonts w:ascii="Aptos" w:hAnsi="Aptos"/>
          <w:b w:val="0"/>
          <w:i/>
          <w:color w:val="1B2227"/>
          <w:sz w:val="22"/>
        </w:rPr>
        <w:t>The items that separate reasoning from pattern-matching for this case.</w:t>
      </w:r>
    </w:p>
    <w:p>
      <w:r>
        <w:rPr>
          <w:rFonts w:ascii="Aptos" w:hAnsi="Aptos"/>
          <w:b/>
          <w:i w:val="0"/>
          <w:color w:val="1B2227"/>
          <w:sz w:val="22"/>
        </w:rPr>
        <w:t>Data provenance under real-world drift: PASS</w:t>
      </w:r>
    </w:p>
    <w:p>
      <w:r>
        <w:rPr>
          <w:rFonts w:ascii="Aptos" w:hAnsi="Aptos"/>
          <w:b w:val="0"/>
          <w:i w:val="0"/>
          <w:color w:val="1B2227"/>
          <w:sz w:val="22"/>
        </w:rPr>
        <w:t>Specific, checkable disclosure of exactly which fields drifted and why, rather than a generic limitations note</w:t>
      </w:r>
    </w:p>
    <w:p>
      <w:r>
        <w:rPr>
          <w:rFonts w:ascii="Aptos" w:hAnsi="Aptos"/>
          <w:b/>
          <w:i w:val="0"/>
          <w:color w:val="1B2227"/>
          <w:sz w:val="22"/>
        </w:rPr>
        <w:t>AI output review specificity: PASS</w:t>
      </w:r>
    </w:p>
    <w:p>
      <w:r>
        <w:rPr>
          <w:rFonts w:ascii="Aptos" w:hAnsi="Aptos"/>
          <w:b w:val="0"/>
          <w:i w:val="0"/>
          <w:color w:val="1B2227"/>
          <w:sz w:val="22"/>
        </w:rPr>
        <w:t>Three named, reproducible errors with before/after code, not generic lens headings</w:t>
      </w:r>
    </w:p>
    <w:p>
      <w:r>
        <w:rPr>
          <w:rFonts w:ascii="Aptos" w:hAnsi="Aptos"/>
          <w:b/>
          <w:i w:val="0"/>
          <w:color w:val="1B2227"/>
          <w:sz w:val="22"/>
        </w:rPr>
        <w:t>Spec-driven sequence verification: FAIL</w:t>
      </w:r>
    </w:p>
    <w:p>
      <w:r>
        <w:rPr>
          <w:rFonts w:ascii="Aptos" w:hAnsi="Aptos"/>
          <w:b w:val="0"/>
          <w:i w:val="0"/>
          <w:color w:val="1B2227"/>
          <w:sz w:val="22"/>
        </w:rPr>
        <w:t>No git history exists at all; honestly disclosed but unverifiable</w:t>
      </w:r>
    </w:p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INTERNAL-CONSISTENCY CHECKS</w:t>
      </w:r>
    </w:p>
    <w:p>
      <w:r>
        <w:rPr>
          <w:rFonts w:ascii="Aptos" w:hAnsi="Aptos"/>
          <w:b/>
          <w:i w:val="0"/>
          <w:color w:val="1B2227"/>
          <w:sz w:val="22"/>
        </w:rPr>
        <w:t>Declared effort vs. scope delivered: PASS</w:t>
      </w:r>
    </w:p>
    <w:p>
      <w:r>
        <w:rPr>
          <w:rFonts w:ascii="Aptos" w:hAnsi="Aptos"/>
          <w:b w:val="0"/>
          <w:i w:val="0"/>
          <w:color w:val="1B2227"/>
          <w:sz w:val="22"/>
        </w:rPr>
        <w:t>~7 hours itemized, proportionate to what was built and documented</w:t>
      </w:r>
    </w:p>
    <w:p>
      <w:r>
        <w:rPr>
          <w:rFonts w:ascii="Aptos" w:hAnsi="Aptos"/>
          <w:b/>
          <w:i w:val="0"/>
          <w:color w:val="1B2227"/>
          <w:sz w:val="22"/>
        </w:rPr>
        <w:t>Claimed 8/8 passing vs. this review's independent run: INCONCLUSIVE</w:t>
      </w:r>
    </w:p>
    <w:p>
      <w:r>
        <w:rPr>
          <w:rFonts w:ascii="Aptos" w:hAnsi="Aptos"/>
          <w:b w:val="0"/>
          <w:i w:val="0"/>
          <w:color w:val="1B2227"/>
          <w:sz w:val="22"/>
        </w:rPr>
        <w:t>This review's live run against the public demo got stuck on login for 3 of 4 tests attempted — consistent with the candidate's own documented demo instability, not proof either way</w:t>
      </w:r>
    </w:p>
    <w:p>
      <w:r>
        <w:rPr>
          <w:rFonts w:ascii="Aptos" w:hAnsi="Aptos"/>
          <w:b/>
          <w:i w:val="0"/>
          <w:color w:val="1B2227"/>
          <w:sz w:val="22"/>
        </w:rPr>
        <w:t>Failure narrative references real, plausible records: PASS</w:t>
      </w:r>
    </w:p>
    <w:p>
      <w:r>
        <w:rPr>
          <w:rFonts w:ascii="Aptos" w:hAnsi="Aptos"/>
          <w:b w:val="0"/>
          <w:i w:val="0"/>
          <w:color w:val="1B2227"/>
          <w:sz w:val="22"/>
        </w:rPr>
        <w:t>All five named failure modes reference specific files, lines, and reproducible error text</w:t>
      </w:r>
    </w:p>
    <w:p>
      <w:pPr>
        <w:spacing w:before="280" w:after="80"/>
      </w:pPr>
      <w:r>
        <w:rPr>
          <w:rFonts w:ascii="Aptos" w:hAnsi="Aptos"/>
          <w:b/>
          <w:color w:val="075056"/>
          <w:sz w:val="28"/>
        </w:rPr>
        <w:t>YOUR NEXT STEPS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Initialize git from the start of the next project and commit in the spec → plan → tasks → implement sequence.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Re-run the full suite against a stable target (a local/containerized OrangeHRM instance rather than the shared public demo) and capture the actual pass/fail output as evidence.</w:t>
      </w:r>
    </w:p>
    <w:p>
      <w:pPr>
        <w:pStyle w:val="ListBullet"/>
      </w:pPr>
      <w:r>
        <w:rPr>
          <w:rFonts w:ascii="Aptos" w:hAnsi="Aptos"/>
          <w:color w:val="1B2227"/>
          <w:sz w:val="22"/>
        </w:rPr>
        <w:t>Update the stale requirements document to match the live-observed values from REQ-001, rather than leaving the divergence undocumented in the source of truth.</w:t>
      </w:r>
    </w:p>
    <w:p/>
    <w:p>
      <w:r>
        <w:rPr>
          <w:rFonts w:ascii="Aptos" w:hAnsi="Aptos"/>
          <w:i/>
          <w:color w:val="1B2227"/>
          <w:sz w:val="20"/>
        </w:rPr>
        <w:t>Dr. KNS Acharya, Chief Learning Officer   ·   Dr. Prithvi Sekhar Pagala, AI Technologies Pillar Lead</w:t>
      </w:r>
    </w:p>
    <w:p>
      <w:r>
        <w:rPr>
          <w:rFonts w:ascii="Aptos" w:hAnsi="Aptos"/>
          <w:i/>
          <w:color w:val="1B2227"/>
          <w:sz w:val="18"/>
        </w:rPr>
        <w:t>This review is an AI-evaluator recommendation per the case's grader pack (_Graders/GRADER_PROMPT.md) and the shared rubric. It does not certify on its own — the named validator's sign-off gates issuance, and a validator's "No, Do not" overrides this score.</w:t>
      </w:r>
    </w:p>
    <w:p>
      <w:r>
        <w:rPr>
          <w:rFonts w:ascii="Aptos" w:hAnsi="Aptos"/>
          <w:color w:val="1B2227"/>
          <w:sz w:val="18"/>
        </w:rPr>
        <w:t>Evaluation date: 2026-08-12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B22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