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27B3" w14:textId="03F6476F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David Kinney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DSC 550</w:t>
      </w:r>
    </w:p>
    <w:p w14:paraId="1A1F0CDF" w14:textId="77F7B638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Professor Deitenbeck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Winter 2020</w:t>
      </w:r>
    </w:p>
    <w:p w14:paraId="272DBEDA" w14:textId="6286AA32" w:rsidR="00BD4345" w:rsidRPr="00BD4345" w:rsidRDefault="00EE2CE6" w:rsidP="00BD4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D4345" w:rsidRPr="00BD4345">
        <w:rPr>
          <w:rFonts w:ascii="Times New Roman" w:hAnsi="Times New Roman" w:cs="Times New Roman"/>
        </w:rPr>
        <w:t xml:space="preserve">.4 Reflection: Week </w:t>
      </w:r>
      <w:r>
        <w:rPr>
          <w:rFonts w:ascii="Times New Roman" w:hAnsi="Times New Roman" w:cs="Times New Roman"/>
        </w:rPr>
        <w:t>2</w:t>
      </w:r>
      <w:r w:rsidR="00BD4345" w:rsidRPr="00BD4345">
        <w:rPr>
          <w:rFonts w:ascii="Times New Roman" w:hAnsi="Times New Roman" w:cs="Times New Roman"/>
        </w:rPr>
        <w:t xml:space="preserve"> Reflection</w:t>
      </w:r>
    </w:p>
    <w:p w14:paraId="4C5EFB8D" w14:textId="72E53E37" w:rsidR="00BD4345" w:rsidRPr="00BD4345" w:rsidRDefault="00BD4345" w:rsidP="00BD4345">
      <w:pPr>
        <w:jc w:val="center"/>
        <w:rPr>
          <w:rFonts w:ascii="Times New Roman" w:hAnsi="Times New Roman" w:cs="Times New Roman"/>
        </w:rPr>
      </w:pPr>
    </w:p>
    <w:p w14:paraId="7C660D81" w14:textId="6209766B" w:rsidR="003F6D05" w:rsidRDefault="00295AAE" w:rsidP="00BD4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Conceptually, I enjoyed this week. I have virtually no experience with this sort of text processing; it’s always been numbers and categorical data. I may have mentioned last week that I’ve spent most of my professional career as a coder of one form or another. Most recently, before I started working at the Bank three years ago, I was a full stack web/</w:t>
      </w:r>
      <w:r w:rsidR="0021450D">
        <w:rPr>
          <w:rFonts w:ascii="Times New Roman" w:hAnsi="Times New Roman" w:cs="Times New Roman"/>
        </w:rPr>
        <w:t>c#</w:t>
      </w:r>
      <w:r>
        <w:rPr>
          <w:rFonts w:ascii="Times New Roman" w:hAnsi="Times New Roman" w:cs="Times New Roman"/>
        </w:rPr>
        <w:t xml:space="preserve"> developer. This week was predominately about coding</w:t>
      </w:r>
      <w:r w:rsidR="0021450D">
        <w:rPr>
          <w:rFonts w:ascii="Times New Roman" w:hAnsi="Times New Roman" w:cs="Times New Roman"/>
        </w:rPr>
        <w:t xml:space="preserve"> (although</w:t>
      </w:r>
      <w:r>
        <w:rPr>
          <w:rFonts w:ascii="Times New Roman" w:hAnsi="Times New Roman" w:cs="Times New Roman"/>
        </w:rPr>
        <w:t xml:space="preserve"> there was a fair amount of theory</w:t>
      </w:r>
      <w:r w:rsidR="0021450D">
        <w:rPr>
          <w:rFonts w:ascii="Times New Roman" w:hAnsi="Times New Roman" w:cs="Times New Roman"/>
        </w:rPr>
        <w:t xml:space="preserve"> hidden amongst the Discussions)</w:t>
      </w:r>
      <w:r>
        <w:rPr>
          <w:rFonts w:ascii="Times New Roman" w:hAnsi="Times New Roman" w:cs="Times New Roman"/>
        </w:rPr>
        <w:t>.</w:t>
      </w:r>
    </w:p>
    <w:p w14:paraId="49FA0795" w14:textId="2EF63FE3" w:rsidR="00295AAE" w:rsidRDefault="00295AAE" w:rsidP="00BD4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also finding that I like the way our textbook, “Machine Learning with Python Cookbook” is structured: problem, solution, discussion. There’s a real danger with just providing a solution. If I can paraphrase an old well-worn saw, that’s just giving me a fish, not teaching me how to catch my own. The Discussion sections provide that valuable information. </w:t>
      </w:r>
    </w:p>
    <w:p w14:paraId="37FDA6A1" w14:textId="421F4837" w:rsidR="00295AAE" w:rsidRDefault="00295AAE" w:rsidP="00BD4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exercise was hard! Or maybe I just got lulled into a false sense of security with how easy and short the Week 1 exercise was. At any rate, it took me quite a bit of time to get through it.</w:t>
      </w:r>
    </w:p>
    <w:p w14:paraId="452240CB" w14:textId="29054EE4" w:rsidR="00295AAE" w:rsidRDefault="00295AAE" w:rsidP="00BD4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thing I’m struggling with are pandas’s Series and DataFrames. They are fantastic to work with in their intrinsic forms. Where I struggle is when I have to “un-panda” one of the structures. For example, the pandas data structures were indispensable to clean this week’s exercise data</w:t>
      </w:r>
      <w:r w:rsidR="001F7B88">
        <w:rPr>
          <w:rFonts w:ascii="Times New Roman" w:hAnsi="Times New Roman" w:cs="Times New Roman"/>
        </w:rPr>
        <w:t xml:space="preserve">—converting to lower case, removing punctuation and stop words. However, </w:t>
      </w:r>
      <w:r w:rsidR="0021450D">
        <w:rPr>
          <w:rFonts w:ascii="Times New Roman" w:hAnsi="Times New Roman" w:cs="Times New Roman"/>
        </w:rPr>
        <w:t>when</w:t>
      </w:r>
      <w:r w:rsidR="001F7B88">
        <w:rPr>
          <w:rFonts w:ascii="Times New Roman" w:hAnsi="Times New Roman" w:cs="Times New Roman"/>
        </w:rPr>
        <w:t xml:space="preserve"> when it </w:t>
      </w:r>
      <w:r w:rsidR="0021450D">
        <w:rPr>
          <w:rFonts w:ascii="Times New Roman" w:hAnsi="Times New Roman" w:cs="Times New Roman"/>
        </w:rPr>
        <w:t>came</w:t>
      </w:r>
      <w:bookmarkStart w:id="0" w:name="_GoBack"/>
      <w:bookmarkEnd w:id="0"/>
      <w:r w:rsidR="001F7B88">
        <w:rPr>
          <w:rFonts w:ascii="Times New Roman" w:hAnsi="Times New Roman" w:cs="Times New Roman"/>
        </w:rPr>
        <w:t xml:space="preserve"> to requiring just string data, converting the pandas structures back to strings to operate on became a real head scratcher. </w:t>
      </w:r>
    </w:p>
    <w:p w14:paraId="389D7A5A" w14:textId="2B3CA7EC" w:rsidR="001F7B88" w:rsidRPr="00BD4345" w:rsidRDefault="001F7B88" w:rsidP="00BD43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that being said, I forced myself to work through it without referring to the cheat sheets. I can’t honestly say it ended up in a light bulb moment, but when the dust settles, I have my Jupyter notebook to refer back to. I’m confident that running through it again a few dozen times, the light bulb will eventually ignite. </w:t>
      </w:r>
    </w:p>
    <w:p w14:paraId="20FF79F4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p w14:paraId="255F0E1A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sectPr w:rsidR="00BD4345" w:rsidRPr="00BD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5"/>
    <w:rsid w:val="001F7B88"/>
    <w:rsid w:val="00200965"/>
    <w:rsid w:val="0021450D"/>
    <w:rsid w:val="00295AAE"/>
    <w:rsid w:val="003F6D05"/>
    <w:rsid w:val="006814FD"/>
    <w:rsid w:val="0077069B"/>
    <w:rsid w:val="00BD4345"/>
    <w:rsid w:val="00E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4266"/>
  <w15:chartTrackingRefBased/>
  <w15:docId w15:val="{25A7204D-B84A-4198-BE8B-95A208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4</cp:revision>
  <dcterms:created xsi:type="dcterms:W3CDTF">2019-12-08T20:55:00Z</dcterms:created>
  <dcterms:modified xsi:type="dcterms:W3CDTF">2019-12-08T21:10:00Z</dcterms:modified>
</cp:coreProperties>
</file>