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45DFC">
      <w:pPr>
        <w:pStyle w:val="30"/>
      </w:pPr>
      <w:r>
        <w:t>🧩</w:t>
      </w:r>
      <w:bookmarkStart w:id="0" w:name="_GoBack"/>
      <w:bookmarkEnd w:id="0"/>
      <w:r>
        <w:t>技术要求（Technical Requirements）</w:t>
      </w:r>
    </w:p>
    <w:p w14:paraId="4350ED81">
      <w:pPr>
        <w:pStyle w:val="31"/>
      </w:pPr>
      <w:r>
        <w:t>1. 系统架构与运行环境</w:t>
      </w:r>
    </w:p>
    <w:p w14:paraId="4167017A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硬件平台</w:t>
      </w:r>
    </w:p>
    <w:p w14:paraId="1CE6FCB3">
      <w:pPr>
        <w:pStyle w:val="25"/>
        <w:numPr>
          <w:ilvl w:val="1"/>
          <w:numId w:val="1"/>
        </w:numPr>
      </w:pPr>
      <w:r>
        <w:t>推荐标准服务器配置：双路 Intel Xeon Gold 6248（20 核／40 线程），64 GB DDR4 ECC RAM，1 TB NVMe SSD，支持 RAID‑1；预留 20% 资源冗余。</w:t>
      </w:r>
    </w:p>
    <w:p w14:paraId="1BAEF38C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软件平台</w:t>
      </w:r>
    </w:p>
    <w:p w14:paraId="712F070A">
      <w:pPr>
        <w:pStyle w:val="25"/>
        <w:numPr>
          <w:ilvl w:val="1"/>
          <w:numId w:val="1"/>
        </w:numPr>
      </w:pPr>
      <w:r>
        <w:t xml:space="preserve">操作系统：Ubuntu Server 22.04 LTS  </w:t>
      </w:r>
    </w:p>
    <w:p w14:paraId="0B8BD6FC">
      <w:pPr>
        <w:pStyle w:val="25"/>
        <w:numPr>
          <w:ilvl w:val="1"/>
          <w:numId w:val="1"/>
        </w:numPr>
      </w:pPr>
      <w:r>
        <w:t xml:space="preserve">数据库：PostgreSQL 14 或 MySQL 8.x  </w:t>
      </w:r>
    </w:p>
    <w:p w14:paraId="7CFE7090">
      <w:pPr>
        <w:pStyle w:val="25"/>
        <w:numPr>
          <w:ilvl w:val="1"/>
          <w:numId w:val="1"/>
        </w:numPr>
      </w:pPr>
      <w:r>
        <w:t xml:space="preserve">运行环境：Java 17、Python 3.11、.NET 6  </w:t>
      </w:r>
    </w:p>
    <w:p w14:paraId="479476D6">
      <w:pPr>
        <w:pStyle w:val="25"/>
        <w:numPr>
          <w:ilvl w:val="1"/>
          <w:numId w:val="1"/>
        </w:numPr>
      </w:pPr>
      <w:r>
        <w:t>中间件：Nginx、Redis、RabbitMQ</w:t>
      </w:r>
    </w:p>
    <w:p w14:paraId="40804296">
      <w:pPr>
        <w:pStyle w:val="16"/>
      </w:pPr>
    </w:p>
    <w:p w14:paraId="7326C3C2">
      <w:pPr>
        <w:pStyle w:val="31"/>
      </w:pPr>
      <w:r>
        <w:t>2. 功能性技术需求</w:t>
      </w:r>
    </w:p>
    <w:p w14:paraId="641C35C6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接口规范</w:t>
      </w:r>
      <w:r>
        <w:t xml:space="preserve">：RESTful API，JSON 格式，遵循 OpenAPI 3.0  </w:t>
      </w:r>
    </w:p>
    <w:p w14:paraId="35292849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并发与性能</w:t>
      </w:r>
      <w:r>
        <w:t xml:space="preserve">：支持 ≥1000 并发用户，请求响应 95% ≤200 ms  </w:t>
      </w:r>
    </w:p>
    <w:p w14:paraId="30652C2D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权限管理</w:t>
      </w:r>
      <w:r>
        <w:t xml:space="preserve">：基于 RBAC 权限控制模型  </w:t>
      </w:r>
    </w:p>
    <w:p w14:paraId="29060D5D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数据操作</w:t>
      </w:r>
      <w:r>
        <w:t>：支持 CSV/Excel 导入导出，单次 ≥10,000 条记录</w:t>
      </w:r>
    </w:p>
    <w:p w14:paraId="207A127A">
      <w:pPr>
        <w:pStyle w:val="16"/>
      </w:pPr>
    </w:p>
    <w:p w14:paraId="4E9D98DC">
      <w:pPr>
        <w:pStyle w:val="31"/>
      </w:pPr>
      <w:r>
        <w:t>3. 非功能性技术需求</w:t>
      </w:r>
    </w:p>
    <w:p w14:paraId="7D8C0A9E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性能指标</w:t>
      </w:r>
      <w:r>
        <w:t xml:space="preserve">：峰值 ≥500 QPS，平均延迟 &lt;300 ms  </w:t>
      </w:r>
    </w:p>
    <w:p w14:paraId="72379792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可扩展性</w:t>
      </w:r>
      <w:r>
        <w:t xml:space="preserve">：支持无状态微服务部署与水平扩展  </w:t>
      </w:r>
    </w:p>
    <w:p w14:paraId="7D1CA092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可用性 / 可靠性</w:t>
      </w:r>
      <w:r>
        <w:t xml:space="preserve">：24×7 可用；月 MTTR &lt;2h，MTBF ≥1000h  </w:t>
      </w:r>
    </w:p>
    <w:p w14:paraId="740DA629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安全合规</w:t>
      </w:r>
      <w:r>
        <w:t xml:space="preserve">：符合 OWASP Top 10；HTTPS；JWT/OAuth2 认证；数据库 AES‑256 加密  </w:t>
      </w:r>
    </w:p>
    <w:p w14:paraId="4BF107B4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备份与容灾</w:t>
      </w:r>
      <w:r>
        <w:t xml:space="preserve">：每日全量备份；日志异地同步；RPO ≤2h，RTO ≤4h  </w:t>
      </w:r>
    </w:p>
    <w:p w14:paraId="6D0BB95B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维护性</w:t>
      </w:r>
      <w:r>
        <w:t>：≥80% 单元测试覆盖率；完整 API 与部署文档；支持 CI/CD</w:t>
      </w:r>
    </w:p>
    <w:p w14:paraId="56D7EBD5">
      <w:pPr>
        <w:pStyle w:val="16"/>
      </w:pPr>
    </w:p>
    <w:p w14:paraId="4B352FD2">
      <w:pPr>
        <w:pStyle w:val="31"/>
      </w:pPr>
      <w:r>
        <w:t>4. 接口规范与兼容性</w:t>
      </w:r>
    </w:p>
    <w:p w14:paraId="749F895D">
      <w:pPr>
        <w:pStyle w:val="25"/>
        <w:numPr>
          <w:ilvl w:val="0"/>
          <w:numId w:val="1"/>
        </w:numPr>
      </w:pPr>
      <w:r>
        <w:t xml:space="preserve">支持 REST/GraphQL/WebSocket；第三方认证支持 OAuth2 或 HMAC  </w:t>
      </w:r>
    </w:p>
    <w:p w14:paraId="42B5194E">
      <w:pPr>
        <w:pStyle w:val="25"/>
        <w:numPr>
          <w:ilvl w:val="0"/>
          <w:numId w:val="1"/>
        </w:numPr>
      </w:pPr>
      <w:r>
        <w:t xml:space="preserve">数据契约明确，字段类型、长度、错误码规范统一  </w:t>
      </w:r>
    </w:p>
    <w:p w14:paraId="7BFBBCF2">
      <w:pPr>
        <w:pStyle w:val="25"/>
        <w:numPr>
          <w:ilvl w:val="0"/>
          <w:numId w:val="1"/>
        </w:numPr>
      </w:pPr>
      <w:r>
        <w:t>支持调用失败重试（指数退避）与接口降级机制</w:t>
      </w:r>
    </w:p>
    <w:p w14:paraId="6806720B">
      <w:pPr>
        <w:pStyle w:val="16"/>
      </w:pPr>
    </w:p>
    <w:p w14:paraId="34A6051F">
      <w:pPr>
        <w:pStyle w:val="31"/>
      </w:pPr>
      <w:r>
        <w:t>5. 数据管理与存储</w:t>
      </w:r>
    </w:p>
    <w:p w14:paraId="21DCF598">
      <w:pPr>
        <w:pStyle w:val="25"/>
        <w:numPr>
          <w:ilvl w:val="0"/>
          <w:numId w:val="1"/>
        </w:numPr>
      </w:pPr>
      <w:r>
        <w:t xml:space="preserve">ER 设计至少 3NF，关键表支持主外键与分区、索引策略  </w:t>
      </w:r>
    </w:p>
    <w:p w14:paraId="41A9D45A">
      <w:pPr>
        <w:pStyle w:val="25"/>
        <w:numPr>
          <w:ilvl w:val="0"/>
          <w:numId w:val="1"/>
        </w:numPr>
      </w:pPr>
      <w:r>
        <w:t xml:space="preserve">初始存量 10M 记录，年增长 50%，支持横/纵分库分表扩展  </w:t>
      </w:r>
    </w:p>
    <w:p w14:paraId="5896A8D5">
      <w:pPr>
        <w:pStyle w:val="25"/>
        <w:numPr>
          <w:ilvl w:val="0"/>
          <w:numId w:val="1"/>
        </w:numPr>
      </w:pPr>
      <w:r>
        <w:t>关键操作带审计日志：用户、时间、IP、操作类型、old/new 值</w:t>
      </w:r>
    </w:p>
    <w:p w14:paraId="795889E0">
      <w:pPr>
        <w:pStyle w:val="16"/>
      </w:pPr>
    </w:p>
    <w:p w14:paraId="2010B784">
      <w:pPr>
        <w:pStyle w:val="31"/>
      </w:pPr>
      <w:r>
        <w:t>6. 用户界面与交互规范</w:t>
      </w:r>
    </w:p>
    <w:p w14:paraId="700CF5FA">
      <w:pPr>
        <w:pStyle w:val="25"/>
        <w:numPr>
          <w:ilvl w:val="0"/>
          <w:numId w:val="1"/>
        </w:numPr>
      </w:pPr>
      <w:r>
        <w:t xml:space="preserve">遵循 ISO 9241 易用性标准，UI 一致、容错、反馈及时  </w:t>
      </w:r>
    </w:p>
    <w:p w14:paraId="0FD40B6C">
      <w:pPr>
        <w:pStyle w:val="25"/>
        <w:numPr>
          <w:ilvl w:val="0"/>
          <w:numId w:val="1"/>
        </w:numPr>
      </w:pPr>
      <w:r>
        <w:t xml:space="preserve">响应式布局，兼容主流桌面与移动浏览器  </w:t>
      </w:r>
    </w:p>
    <w:p w14:paraId="35580F56">
      <w:pPr>
        <w:pStyle w:val="25"/>
        <w:numPr>
          <w:ilvl w:val="0"/>
          <w:numId w:val="1"/>
        </w:numPr>
      </w:pPr>
      <w:r>
        <w:t>关键业务支持确认提示、错误提示、撤销功能</w:t>
      </w:r>
    </w:p>
    <w:p w14:paraId="1011D568">
      <w:pPr>
        <w:pStyle w:val="16"/>
      </w:pPr>
    </w:p>
    <w:p w14:paraId="166EBB0B">
      <w:pPr>
        <w:pStyle w:val="31"/>
      </w:pPr>
      <w:r>
        <w:t>7. 需求追踪与变更管理</w:t>
      </w:r>
    </w:p>
    <w:p w14:paraId="517A212E">
      <w:pPr>
        <w:pStyle w:val="25"/>
        <w:numPr>
          <w:ilvl w:val="0"/>
          <w:numId w:val="1"/>
        </w:numPr>
      </w:pPr>
      <w:r>
        <w:t xml:space="preserve">每条需求关联设计、测试用例与验收标准，通过 JIRA/ADO 实现端到端追踪  </w:t>
      </w:r>
    </w:p>
    <w:p w14:paraId="1EE1765F">
      <w:pPr>
        <w:pStyle w:val="25"/>
        <w:numPr>
          <w:ilvl w:val="0"/>
          <w:numId w:val="1"/>
        </w:numPr>
      </w:pPr>
      <w:r>
        <w:t>建立变更流程，评估影响并同步更新相关文档和测试</w:t>
      </w:r>
    </w:p>
    <w:p w14:paraId="3529DEF9">
      <w:pPr>
        <w:pStyle w:val="16"/>
      </w:pPr>
    </w:p>
    <w:p w14:paraId="2D669E22">
      <w:pPr>
        <w:pStyle w:val="31"/>
      </w:pPr>
      <w:r>
        <w:t>8. 测试与质量保障</w:t>
      </w:r>
    </w:p>
    <w:p w14:paraId="4E023097">
      <w:pPr>
        <w:pStyle w:val="25"/>
        <w:numPr>
          <w:ilvl w:val="0"/>
          <w:numId w:val="1"/>
        </w:numPr>
      </w:pPr>
      <w:r>
        <w:t xml:space="preserve">覆盖单元、集成和 UI 自动化测试；性能测试范围含压力与负载测试  </w:t>
      </w:r>
    </w:p>
    <w:p w14:paraId="38D096DD">
      <w:pPr>
        <w:pStyle w:val="25"/>
        <w:numPr>
          <w:ilvl w:val="0"/>
          <w:numId w:val="1"/>
        </w:numPr>
      </w:pPr>
      <w:r>
        <w:t xml:space="preserve">定期漏洞扫描与渗透测试  </w:t>
      </w:r>
    </w:p>
    <w:p w14:paraId="549D812F">
      <w:pPr>
        <w:pStyle w:val="25"/>
        <w:numPr>
          <w:ilvl w:val="0"/>
          <w:numId w:val="1"/>
        </w:numPr>
      </w:pPr>
      <w:r>
        <w:t>发布前 ≥95% 回归测试通过率</w:t>
      </w:r>
    </w:p>
    <w:p w14:paraId="5AE91D03">
      <w:pPr>
        <w:pStyle w:val="16"/>
      </w:pPr>
    </w:p>
    <w:p w14:paraId="78701604">
      <w:pPr>
        <w:pStyle w:val="31"/>
      </w:pPr>
      <w:r>
        <w:t>9. 部署及运维要求</w:t>
      </w:r>
    </w:p>
    <w:p w14:paraId="3961B4A5">
      <w:pPr>
        <w:pStyle w:val="25"/>
        <w:numPr>
          <w:ilvl w:val="0"/>
          <w:numId w:val="1"/>
        </w:numPr>
      </w:pPr>
      <w:r>
        <w:t xml:space="preserve">支持容器化（Docker）与 Kubernetes 编排部署  </w:t>
      </w:r>
    </w:p>
    <w:p w14:paraId="449E27C4">
      <w:pPr>
        <w:pStyle w:val="25"/>
        <w:numPr>
          <w:ilvl w:val="0"/>
          <w:numId w:val="1"/>
        </w:numPr>
      </w:pPr>
      <w:r>
        <w:t xml:space="preserve">集成 Prometheus + Grafana 监控，设置 CPU、内存、QPS、错误率、响应时间告警  </w:t>
      </w:r>
    </w:p>
    <w:p w14:paraId="199E151F">
      <w:pPr>
        <w:pStyle w:val="25"/>
        <w:numPr>
          <w:ilvl w:val="0"/>
          <w:numId w:val="1"/>
        </w:numPr>
      </w:pPr>
      <w:r>
        <w:t xml:space="preserve">中心化日志：ELK 或 EFK，支持结构化日志与快速检索  </w:t>
      </w:r>
    </w:p>
    <w:p w14:paraId="30E475D2">
      <w:pPr>
        <w:pStyle w:val="25"/>
        <w:numPr>
          <w:ilvl w:val="0"/>
          <w:numId w:val="1"/>
        </w:numPr>
      </w:pPr>
      <w:r>
        <w:t>CI/CD 流水线支持编译、测试、打包、部署和回滚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36C43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rPr>
      <w:b/>
      <w:bCs/>
      <w:sz w:val="24"/>
      <w:szCs w:val="24"/>
    </w:rPr>
  </w:style>
  <w:style w:type="paragraph" w:customStyle="1" w:styleId="28">
    <w:name w:val="MdTableCell"/>
    <w:qFormat/>
    <w:uiPriority w:val="0"/>
    <w:rPr>
      <w:sz w:val="24"/>
      <w:szCs w:val="24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  <w:color w:val="FF0000"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749</Words>
  <Characters>1106</Characters>
  <TotalTime>0</TotalTime>
  <ScaleCrop>false</ScaleCrop>
  <LinksUpToDate>false</LinksUpToDate>
  <CharactersWithSpaces>1248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2025-07-08T03:06:00Z</dcterms:created>
  <dc:creator>Un-named</dc:creator>
  <cp:lastModifiedBy>WPS_1663546816</cp:lastModifiedBy>
  <dcterms:modified xsi:type="dcterms:W3CDTF">2025-07-08T03:06:56Z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eyJoZGlkIjoiZjFmZWIzNDg2MmIzZjExOTIzMmViNTBmYTMwYTk0ZWYiLCJ1c2VySWQiOiIxNDEyNzg2NzU2In0=</vt:lpwstr>
  </property>
  <property fmtid="{D5CDD505-2E9C-101B-9397-08002B2CF9AE}" pid="3" name="KSOProductBuildVer">
    <vt:lpwstr>2052-12.1.0.21915</vt:lpwstr>
  </property>
  <property fmtid="{D5CDD505-2E9C-101B-9397-08002B2CF9AE}" pid="4" name="ICV">
    <vt:lpwstr>7898B4EA25A648698149E64E6619ED23_13</vt:lpwstr>
  </property>
</Properties>
</file>