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  <w:bookmarkStart w:id="0" w:name="_GoBack"/>
      <w:bookmarkEnd w:id="0"/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653510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Bassoon</w:t>
      </w:r>
      <w:r w:rsidR="00ED62D4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&amp; Speaker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ED62D4" w:rsidRPr="00ED62D4">
        <w:rPr>
          <w:rFonts w:ascii="Adobe Garamond Pro" w:eastAsia="Garamond" w:hAnsi="Adobe Garamond Pro" w:cs="Garamond"/>
          <w:szCs w:val="24"/>
        </w:rPr>
        <w:t xml:space="preserve"> </w:t>
      </w:r>
      <w:r w:rsidR="00ED62D4">
        <w:rPr>
          <w:rFonts w:ascii="Adobe Garamond Pro" w:eastAsia="Garamond" w:hAnsi="Adobe Garamond Pro" w:cs="Garamond"/>
          <w:szCs w:val="24"/>
        </w:rPr>
        <w:t>The text should not be read in an especially theatrical manner; the tone should fairly dry, but not without interpretive nuance.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17FE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4328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DFA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3510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624B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0E98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0CF9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0DCC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3D87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2D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2015-12-01T05:44:00Z</dcterms:created>
  <dcterms:modified xsi:type="dcterms:W3CDTF">2015-12-01T05:44:00Z</dcterms:modified>
</cp:coreProperties>
</file>