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A57BFD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Percussion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The notation is written entirely without meter. Pages read from top to bottom and left to right. Space relates loosely to time. The presence of a staff indicates that a sound is being produced or sustained while the absence of one indicates silence.</w:t>
      </w:r>
      <w:r w:rsidR="00BE7E18">
        <w:rPr>
          <w:rFonts w:ascii="Adobe Garamond Pro" w:eastAsia="Garamond" w:hAnsi="Adobe Garamond Pro" w:cs="Garamond"/>
          <w:szCs w:val="24"/>
        </w:rPr>
        <w:t xml:space="preserve"> Staff cutoffs ask that any resonating instruments be dampened.</w:t>
      </w:r>
      <w:r w:rsidRPr="0056656A">
        <w:rPr>
          <w:rFonts w:ascii="Adobe Garamond Pro" w:eastAsia="Garamond" w:hAnsi="Adobe Garamond Pro" w:cs="Garamond"/>
          <w:szCs w:val="24"/>
        </w:rPr>
        <w:t xml:space="preserve">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2619DF" w:rsidRDefault="002619DF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0E7D0E" w:rsidRDefault="00A57BFD" w:rsidP="000E7D0E">
      <w:pPr>
        <w:spacing w:after="80"/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 xml:space="preserve">The part </w:t>
      </w:r>
      <w:r w:rsidR="00DD0C0A">
        <w:rPr>
          <w:rFonts w:ascii="Adobe Garamond Pro" w:eastAsia="Garamond" w:hAnsi="Adobe Garamond Pro" w:cs="Garamond"/>
          <w:szCs w:val="24"/>
        </w:rPr>
        <w:t>uses</w:t>
      </w:r>
      <w:r>
        <w:rPr>
          <w:rFonts w:ascii="Adobe Garamond Pro" w:eastAsia="Garamond" w:hAnsi="Adobe Garamond Pro" w:cs="Garamond"/>
          <w:szCs w:val="24"/>
        </w:rPr>
        <w:t xml:space="preserve"> 9 </w:t>
      </w:r>
      <w:r w:rsidR="00DD0C0A">
        <w:rPr>
          <w:rFonts w:ascii="Adobe Garamond Pro" w:eastAsia="Garamond" w:hAnsi="Adobe Garamond Pro" w:cs="Garamond"/>
          <w:szCs w:val="24"/>
        </w:rPr>
        <w:t>percussion instruments</w:t>
      </w:r>
      <w:r>
        <w:rPr>
          <w:rFonts w:ascii="Adobe Garamond Pro" w:eastAsia="Garamond" w:hAnsi="Adobe Garamond Pro" w:cs="Garamond"/>
          <w:szCs w:val="24"/>
        </w:rPr>
        <w:t xml:space="preserve"> as indicated below. If the exact instruments are not available, appropriate instrument substitutions may be made</w:t>
      </w:r>
      <w:r w:rsidR="000E7D0E">
        <w:rPr>
          <w:rFonts w:ascii="Adobe Garamond Pro" w:eastAsia="Garamond" w:hAnsi="Adobe Garamond Pro" w:cs="Garamond"/>
          <w:szCs w:val="24"/>
        </w:rPr>
        <w:t xml:space="preserve"> at your discretion.</w:t>
      </w:r>
      <w:r w:rsidR="00FC3272">
        <w:rPr>
          <w:rFonts w:ascii="Adobe Garamond Pro" w:eastAsia="Garamond" w:hAnsi="Adobe Garamond Pro" w:cs="Garamond"/>
          <w:szCs w:val="24"/>
        </w:rPr>
        <w:t xml:space="preserve"> The different notehead shapes relate only to the instruments they correspond to and have no bearing on duration.</w:t>
      </w:r>
    </w:p>
    <w:p w:rsidR="000E7D0E" w:rsidRDefault="006603B1" w:rsidP="006D0741">
      <w:pPr>
        <w:spacing w:before="120" w:after="240"/>
        <w:jc w:val="center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73.5pt">
            <v:imagedata r:id="rId4" o:title="Percussion Legend"/>
          </v:shape>
        </w:pict>
      </w:r>
    </w:p>
    <w:p w:rsidR="009510EA" w:rsidRPr="0056656A" w:rsidRDefault="009510EA" w:rsidP="003A0070">
      <w:pPr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>Hard yarn, soft yarn, and soft rubber beaters will be used.</w:t>
      </w:r>
      <w:r w:rsidR="000E7D0E">
        <w:rPr>
          <w:rFonts w:ascii="Adobe Garamond Pro" w:eastAsia="Garamond" w:hAnsi="Adobe Garamond Pro" w:cs="Garamond"/>
          <w:szCs w:val="24"/>
        </w:rPr>
        <w:t xml:space="preserve">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E7D0E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37E2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131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55CA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9DF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1828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4328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49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DA5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3510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03B1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30F5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0741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1D0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0EA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B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DE5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587C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1B43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E7E18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0C0A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1A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72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cp:lastPrinted>2015-11-15T05:46:00Z</cp:lastPrinted>
  <dcterms:created xsi:type="dcterms:W3CDTF">2015-11-06T06:16:00Z</dcterms:created>
  <dcterms:modified xsi:type="dcterms:W3CDTF">2015-12-01T05:38:00Z</dcterms:modified>
</cp:coreProperties>
</file>