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3F1E67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Viola</w:t>
      </w:r>
      <w:r w:rsidR="00657CB3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&amp; Speaker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657CB3" w:rsidRPr="00657CB3">
        <w:rPr>
          <w:rFonts w:ascii="Adobe Garamond Pro" w:eastAsia="Garamond" w:hAnsi="Adobe Garamond Pro" w:cs="Garamond"/>
          <w:szCs w:val="24"/>
        </w:rPr>
        <w:t xml:space="preserve"> </w:t>
      </w:r>
      <w:r w:rsidR="00657CB3">
        <w:rPr>
          <w:rFonts w:ascii="Adobe Garamond Pro" w:eastAsia="Garamond" w:hAnsi="Adobe Garamond Pro" w:cs="Garamond"/>
          <w:szCs w:val="24"/>
        </w:rPr>
        <w:t>The text should not be read in an especially theatrical manner; the tone should fairly dry, but not without interpretive nuance.</w:t>
      </w:r>
      <w:bookmarkStart w:id="0" w:name="_GoBack"/>
      <w:bookmarkEnd w:id="0"/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6F01D2" w:rsidRDefault="0089669F" w:rsidP="006F01D2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Pizz/arco and mute states carry</w:t>
      </w:r>
      <w:r w:rsidR="00EE0CD6" w:rsidRPr="0056656A">
        <w:rPr>
          <w:rFonts w:ascii="Adobe Garamond Pro" w:eastAsia="Garamond" w:hAnsi="Adobe Garamond Pro" w:cs="Garamond"/>
          <w:szCs w:val="24"/>
        </w:rPr>
        <w:t xml:space="preserve"> between passages. </w:t>
      </w:r>
      <w:r w:rsidRPr="0056656A">
        <w:rPr>
          <w:rFonts w:ascii="Adobe Garamond Pro" w:eastAsia="Garamond" w:hAnsi="Adobe Garamond Pro" w:cs="Garamond"/>
          <w:szCs w:val="24"/>
        </w:rPr>
        <w:t>Artificial harmonics are always at the 4</w:t>
      </w:r>
      <w:r w:rsidRPr="0056656A">
        <w:rPr>
          <w:rFonts w:ascii="Adobe Garamond Pro" w:eastAsia="Garamond" w:hAnsi="Adobe Garamond Pro" w:cs="Garamond"/>
          <w:szCs w:val="24"/>
          <w:vertAlign w:val="superscript"/>
        </w:rPr>
        <w:t>th</w:t>
      </w:r>
      <w:r w:rsidRPr="0056656A">
        <w:rPr>
          <w:rFonts w:ascii="Adobe Garamond Pro" w:eastAsia="Garamond" w:hAnsi="Adobe Garamond Pro" w:cs="Garamond"/>
          <w:szCs w:val="24"/>
        </w:rPr>
        <w:t xml:space="preserve"> and are notated with diamond noteheads. Double stops always involve at least one open string. </w:t>
      </w:r>
      <w:r w:rsidR="00B15AC1">
        <w:rPr>
          <w:rFonts w:ascii="Adobe Garamond Pro" w:eastAsia="Garamond" w:hAnsi="Adobe Garamond Pro" w:cs="Garamond"/>
          <w:szCs w:val="24"/>
        </w:rPr>
        <w:t>Bowings indicated by slurs should be followed where possible; if a slurred line is too long to feasibly play in a single bow it should be played as a continuous phrase regardless.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57CB3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15D6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2015-12-01T05:56:00Z</dcterms:created>
  <dcterms:modified xsi:type="dcterms:W3CDTF">2015-12-01T05:56:00Z</dcterms:modified>
</cp:coreProperties>
</file>