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1F3864"/>
          <w:sz w:val="52"/>
          <w:szCs w:val="52"/>
        </w:rPr>
        <w:t>OFFENSIVE SECURITY PIPELINE</w:t>
      </w:r>
    </w:p>
    <w:p>
      <w:pPr>
        <w:pStyle w:val="Normal"/>
        <w:spacing w:before="0" w:after="80"/>
        <w:jc w:val="center"/>
        <w:rPr/>
      </w:pPr>
      <w:r>
        <w:rPr>
          <w:rFonts w:eastAsia="Arial" w:cs="Arial"/>
          <w:color w:val="2E75B6"/>
          <w:sz w:val="28"/>
          <w:szCs w:val="28"/>
        </w:rPr>
        <w:t>Week 3 — SAST Integration &amp; Baseline Scanning</w:t>
      </w:r>
    </w:p>
    <w:p>
      <w:pPr>
        <w:pStyle w:val="Normal"/>
        <w:spacing w:before="0" w:after="60"/>
        <w:jc w:val="center"/>
        <w:rPr/>
      </w:pPr>
      <w:r>
        <w:rPr>
          <w:rFonts w:eastAsia="Arial" w:cs="Arial"/>
          <w:color w:val="555555"/>
          <w:sz w:val="22"/>
          <w:szCs w:val="22"/>
        </w:rPr>
        <w:t>Engineer: Aditya</w:t>
      </w:r>
    </w:p>
    <w:p>
      <w:pPr>
        <w:pStyle w:val="Normal"/>
        <w:spacing w:before="0" w:after="480"/>
        <w:jc w:val="center"/>
        <w:rPr/>
      </w:pPr>
      <w:r>
        <w:rPr>
          <w:rFonts w:eastAsia="Arial" w:cs="Arial"/>
          <w:color w:val="555555"/>
          <w:sz w:val="22"/>
          <w:szCs w:val="22"/>
        </w:rPr>
        <w:t>Date: Wed Jun 10 2026</w:t>
      </w:r>
    </w:p>
    <w:p>
      <w:pPr>
        <w:pStyle w:val="Heading1"/>
        <w:rPr/>
      </w:pPr>
      <w:r>
        <w:rPr>
          <w:rFonts w:eastAsia="Arial" w:cs="Arial" w:ascii="Arial" w:hAnsi="Arial"/>
          <w:b/>
          <w:bCs/>
          <w:color w:val="1F3864"/>
          <w:sz w:val="32"/>
          <w:szCs w:val="32"/>
        </w:rPr>
        <w:t>1. Overview</w:t>
      </w:r>
    </w:p>
    <w:p>
      <w:pPr>
        <w:pStyle w:val="Normal"/>
        <w:spacing w:before="0" w:after="120"/>
        <w:rPr/>
      </w:pPr>
      <w:r>
        <w:rPr>
          <w:rFonts w:eastAsia="Arial" w:cs="Arial"/>
          <w:color w:val="111111"/>
          <w:sz w:val="21"/>
          <w:szCs w:val="21"/>
        </w:rPr>
        <w:t>Week 3 introduces Static Application Security Testing (SAST) — automated scanning of source code to detect vulnerabilities without executing the program. The target was the vulnerable FastAPI application built in Week 2. Two scanning approaches were used: built-in rulesets from the Semgrep community, and a custom rule written specifically for the SQLi pattern seeded in the codebase.</w:t>
      </w:r>
    </w:p>
    <w:p>
      <w:pPr>
        <w:pStyle w:val="Normal"/>
        <w:spacing w:before="0" w:after="10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2E75B6"/>
              <w:left w:val="single" w:sz="2" w:space="0" w:color="2E75B6"/>
              <w:bottom w:val="single" w:sz="2" w:space="0" w:color="CCCCCC"/>
              <w:right w:val="single" w:sz="2" w:space="0" w:color="CCCCCC"/>
            </w:tcBorders>
            <w:shd w:fill="EBF3FB" w:val="clear"/>
          </w:tcPr>
          <w:p>
            <w:pPr>
              <w:pStyle w:val="Normal"/>
              <w:rPr/>
            </w:pPr>
            <w:r>
              <w:rPr>
                <w:rFonts w:eastAsia="Arial" w:cs="Arial"/>
                <w:b/>
                <w:bCs/>
                <w:color w:val="1F3864"/>
                <w:sz w:val="20"/>
                <w:szCs w:val="20"/>
              </w:rPr>
              <w:t>Week 3 Goal</w:t>
            </w:r>
          </w:p>
          <w:p>
            <w:pPr>
              <w:pStyle w:val="Normal"/>
              <w:spacing w:before="0" w:after="0"/>
              <w:rPr/>
            </w:pPr>
            <w:r>
              <w:rPr>
                <w:rFonts w:eastAsia="Arial" w:cs="Arial"/>
                <w:color w:val="333333"/>
                <w:sz w:val="20"/>
                <w:szCs w:val="20"/>
              </w:rPr>
              <w:t>A SAST tool should find what you already know is there. If it misses a seeded vulnerability, the gap tells you something important about the tool's limits — and where manual review or other techniques must compensate.</w:t>
            </w:r>
          </w:p>
        </w:tc>
      </w:tr>
    </w:tbl>
    <w:p>
      <w:pPr>
        <w:pStyle w:val="Normal"/>
        <w:spacing w:before="0" w:after="100"/>
        <w:rPr/>
      </w:pPr>
      <w:r>
        <w:rPr/>
      </w:r>
    </w:p>
    <w:p>
      <w:pPr>
        <w:pStyle w:val="Heading1"/>
        <w:rPr/>
      </w:pPr>
      <w:r>
        <w:rPr>
          <w:rFonts w:eastAsia="Arial" w:cs="Arial" w:ascii="Arial" w:hAnsi="Arial"/>
          <w:b/>
          <w:bCs/>
          <w:color w:val="1F3864"/>
          <w:sz w:val="32"/>
          <w:szCs w:val="32"/>
        </w:rPr>
        <w:t>2. What is SAST and How Semgrep Works</w:t>
      </w:r>
    </w:p>
    <w:p>
      <w:pPr>
        <w:pStyle w:val="Heading2"/>
        <w:rPr/>
      </w:pPr>
      <w:r>
        <w:rPr>
          <w:rFonts w:eastAsia="Arial" w:cs="Arial" w:ascii="Arial" w:hAnsi="Arial"/>
          <w:b/>
          <w:bCs/>
          <w:color w:val="2E75B6"/>
          <w:sz w:val="26"/>
          <w:szCs w:val="26"/>
        </w:rPr>
        <w:t>2.1 Static Analysis</w:t>
      </w:r>
    </w:p>
    <w:p>
      <w:pPr>
        <w:pStyle w:val="Normal"/>
        <w:spacing w:before="0" w:after="120"/>
        <w:rPr/>
      </w:pPr>
      <w:r>
        <w:rPr>
          <w:rFonts w:eastAsia="Arial" w:cs="Arial"/>
          <w:color w:val="111111"/>
          <w:sz w:val="21"/>
          <w:szCs w:val="21"/>
        </w:rPr>
        <w:t>Static analysis examines source code without running it. It parses the code into a structured representation and applies rules against that structure. This means vulnerabilities can be detected before the application is deployed — during development or in a CI pipeline on every commit.</w:t>
      </w:r>
    </w:p>
    <w:p>
      <w:pPr>
        <w:pStyle w:val="Normal"/>
        <w:spacing w:before="0" w:after="100"/>
        <w:rPr/>
      </w:pPr>
      <w:r>
        <w:rPr/>
      </w:r>
    </w:p>
    <w:p>
      <w:pPr>
        <w:pStyle w:val="Heading2"/>
        <w:rPr/>
      </w:pPr>
      <w:r>
        <w:rPr>
          <w:rFonts w:eastAsia="Arial" w:cs="Arial" w:ascii="Arial" w:hAnsi="Arial"/>
          <w:b/>
          <w:bCs/>
          <w:color w:val="2E75B6"/>
          <w:sz w:val="26"/>
          <w:szCs w:val="26"/>
        </w:rPr>
        <w:t>2.2 How Semgrep Works Internally</w:t>
      </w:r>
    </w:p>
    <w:p>
      <w:pPr>
        <w:pStyle w:val="Normal"/>
        <w:spacing w:before="0" w:after="120"/>
        <w:rPr/>
      </w:pPr>
      <w:r>
        <w:rPr>
          <w:rFonts w:eastAsia="Arial" w:cs="Arial"/>
          <w:color w:val="111111"/>
          <w:sz w:val="21"/>
          <w:szCs w:val="21"/>
        </w:rPr>
        <w:t>Semgrep converts source code into an Abstract Syntax Tree (AST) — a tree structure representing the code's meaning rather than its raw text. Pattern matching then operates against this tree, not against the raw string.</w:t>
      </w:r>
    </w:p>
    <w:p>
      <w:pPr>
        <w:pStyle w:val="Normal"/>
        <w:spacing w:before="0" w:after="10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2E75B6"/>
              <w:left w:val="single" w:sz="2" w:space="0" w:color="2E75B6"/>
              <w:bottom w:val="single" w:sz="2" w:space="0" w:color="CCCCCC"/>
              <w:right w:val="single" w:sz="2" w:space="0" w:color="CCCCCC"/>
            </w:tcBorders>
            <w:shd w:fill="EBF3FB" w:val="clear"/>
          </w:tcPr>
          <w:p>
            <w:pPr>
              <w:pStyle w:val="Normal"/>
              <w:rPr/>
            </w:pPr>
            <w:r>
              <w:rPr>
                <w:rFonts w:eastAsia="Arial" w:cs="Arial"/>
                <w:b/>
                <w:bCs/>
                <w:color w:val="1F3864"/>
                <w:sz w:val="20"/>
                <w:szCs w:val="20"/>
              </w:rPr>
              <w:t>Why AST Matters</w:t>
            </w:r>
          </w:p>
          <w:p>
            <w:pPr>
              <w:pStyle w:val="Normal"/>
              <w:spacing w:before="0" w:after="0"/>
              <w:rPr/>
            </w:pPr>
            <w:r>
              <w:rPr>
                <w:rFonts w:eastAsia="Arial" w:cs="Arial"/>
                <w:color w:val="333333"/>
                <w:sz w:val="20"/>
                <w:szCs w:val="20"/>
              </w:rPr>
              <w:t>Text search (grep) would match 'db.execute' anywhere it appears. AST-based search understands context — it knows the difference between db.execute() called with an f-string argument versus a parameterized string. This eliminates a large class of false positives.</w:t>
            </w:r>
          </w:p>
        </w:tc>
      </w:tr>
    </w:tbl>
    <w:p>
      <w:pPr>
        <w:pStyle w:val="Normal"/>
        <w:spacing w:before="0" w:after="100"/>
        <w:rPr/>
      </w:pPr>
      <w:r>
        <w:rPr/>
      </w:r>
    </w:p>
    <w:p>
      <w:pPr>
        <w:pStyle w:val="Normal"/>
        <w:spacing w:before="0" w:after="120"/>
        <w:rPr/>
      </w:pPr>
      <w:r>
        <w:rPr>
          <w:rFonts w:eastAsia="Arial" w:cs="Arial"/>
          <w:color w:val="111111"/>
          <w:sz w:val="21"/>
          <w:szCs w:val="21"/>
        </w:rPr>
        <w:t>A Semgrep rule looks like this:</w:t>
      </w:r>
    </w:p>
    <w:p>
      <w:pPr>
        <w:pStyle w:val="Normal"/>
        <w:spacing w:before="60" w:after="60"/>
        <w:ind w:left="560"/>
        <w:rPr/>
      </w:pPr>
      <w:r>
        <w:rPr>
          <w:rFonts w:eastAsia="Courier New" w:cs="Courier New" w:ascii="Courier New" w:hAnsi="Courier New"/>
          <w:color w:val="C0392B"/>
          <w:sz w:val="18"/>
          <w:szCs w:val="18"/>
        </w:rPr>
        <w:t>rules:</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 id: sql-injection-fstring</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patterns:</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 pattern: db.execute(f"...")</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message: SQLi via f-string — use parameterized queries</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languages: [python]</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severity: ERROR</w:t>
      </w:r>
    </w:p>
    <w:p>
      <w:pPr>
        <w:pStyle w:val="Normal"/>
        <w:spacing w:before="0" w:after="100"/>
        <w:rPr/>
      </w:pPr>
      <w:r>
        <w:rPr/>
      </w:r>
    </w:p>
    <w:p>
      <w:pPr>
        <w:pStyle w:val="Normal"/>
        <w:spacing w:before="0" w:after="120"/>
        <w:rPr/>
      </w:pPr>
      <w:r>
        <w:rPr>
          <w:rFonts w:eastAsia="Arial" w:cs="Arial"/>
          <w:color w:val="111111"/>
          <w:sz w:val="21"/>
          <w:szCs w:val="21"/>
        </w:rPr>
        <w:t>The pattern key describes a code shape. The $VAR metavariable matches any expression. Semgrep walks the AST looking for nodes matching that shape — if found, the rule fires with the file name and line number.</w:t>
      </w:r>
    </w:p>
    <w:p>
      <w:pPr>
        <w:pStyle w:val="Normal"/>
        <w:spacing w:before="0" w:after="100"/>
        <w:rPr/>
      </w:pPr>
      <w:r>
        <w:rPr/>
      </w:r>
    </w:p>
    <w:p>
      <w:pPr>
        <w:pStyle w:val="Heading2"/>
        <w:rPr/>
      </w:pPr>
      <w:r>
        <w:rPr>
          <w:rFonts w:eastAsia="Arial" w:cs="Arial" w:ascii="Arial" w:hAnsi="Arial"/>
          <w:b/>
          <w:bCs/>
          <w:color w:val="2E75B6"/>
          <w:sz w:val="26"/>
          <w:szCs w:val="26"/>
        </w:rPr>
        <w:t>2.3 Why We Need SAST</w:t>
      </w:r>
    </w:p>
    <w:p>
      <w:pPr>
        <w:pStyle w:val="ListParagraph"/>
        <w:numPr>
          <w:ilvl w:val="0"/>
          <w:numId w:val="3"/>
        </w:numPr>
        <w:spacing w:before="0" w:after="80"/>
        <w:rPr/>
      </w:pPr>
      <w:r>
        <w:rPr>
          <w:rFonts w:eastAsia="Arial" w:cs="Arial"/>
          <w:sz w:val="21"/>
          <w:szCs w:val="21"/>
        </w:rPr>
        <w:t>Manual code review doesn't scale — a real codebase has 100,000+ lines across hundreds of files</w:t>
      </w:r>
    </w:p>
    <w:p>
      <w:pPr>
        <w:pStyle w:val="ListParagraph"/>
        <w:numPr>
          <w:ilvl w:val="0"/>
          <w:numId w:val="1"/>
        </w:numPr>
        <w:spacing w:before="0" w:after="80"/>
        <w:rPr/>
      </w:pPr>
      <w:r>
        <w:rPr>
          <w:rFonts w:eastAsia="Arial" w:cs="Arial"/>
          <w:sz w:val="21"/>
          <w:szCs w:val="21"/>
        </w:rPr>
        <w:t>SAST runs in seconds and never misses a file</w:t>
      </w:r>
    </w:p>
    <w:p>
      <w:pPr>
        <w:pStyle w:val="ListParagraph"/>
        <w:numPr>
          <w:ilvl w:val="0"/>
          <w:numId w:val="1"/>
        </w:numPr>
        <w:spacing w:before="0" w:after="80"/>
        <w:rPr/>
      </w:pPr>
      <w:r>
        <w:rPr>
          <w:rFonts w:eastAsia="Arial" w:cs="Arial"/>
          <w:sz w:val="21"/>
          <w:szCs w:val="21"/>
        </w:rPr>
        <w:t>Wired into CI/CD, it prevents vulnerable code from merging into the main branch</w:t>
      </w:r>
    </w:p>
    <w:p>
      <w:pPr>
        <w:pStyle w:val="ListParagraph"/>
        <w:numPr>
          <w:ilvl w:val="0"/>
          <w:numId w:val="1"/>
        </w:numPr>
        <w:spacing w:before="0" w:after="80"/>
        <w:rPr/>
      </w:pPr>
      <w:r>
        <w:rPr>
          <w:rFonts w:eastAsia="Arial" w:cs="Arial"/>
          <w:sz w:val="21"/>
          <w:szCs w:val="21"/>
        </w:rPr>
        <w:t>Provides a consistent, repeatable baseline — the same rules run on every commit</w:t>
      </w:r>
    </w:p>
    <w:p>
      <w:pPr>
        <w:pStyle w:val="Normal"/>
        <w:spacing w:before="0" w:after="100"/>
        <w:rPr/>
      </w:pPr>
      <w:r>
        <w:rPr/>
      </w:r>
    </w:p>
    <w:p>
      <w:pPr>
        <w:pStyle w:val="Heading1"/>
        <w:rPr/>
      </w:pPr>
      <w:r>
        <w:rPr>
          <w:rFonts w:eastAsia="Arial" w:cs="Arial" w:ascii="Arial" w:hAnsi="Arial"/>
          <w:b/>
          <w:bCs/>
          <w:color w:val="1F3864"/>
          <w:sz w:val="32"/>
          <w:szCs w:val="32"/>
        </w:rPr>
        <w:t>3. Scan Execution</w:t>
      </w:r>
    </w:p>
    <w:p>
      <w:pPr>
        <w:pStyle w:val="Heading2"/>
        <w:rPr/>
      </w:pPr>
      <w:r>
        <w:rPr>
          <w:rFonts w:eastAsia="Arial" w:cs="Arial" w:ascii="Arial" w:hAnsi="Arial"/>
          <w:b/>
          <w:bCs/>
          <w:color w:val="2E75B6"/>
          <w:sz w:val="26"/>
          <w:szCs w:val="26"/>
        </w:rPr>
        <w:t>3.1 Built-in Python Ruleset</w:t>
      </w:r>
    </w:p>
    <w:p>
      <w:pPr>
        <w:pStyle w:val="Normal"/>
        <w:spacing w:before="0" w:after="120"/>
        <w:rPr/>
      </w:pPr>
      <w:r>
        <w:rPr>
          <w:rFonts w:eastAsia="Arial" w:cs="Arial"/>
          <w:color w:val="111111"/>
          <w:sz w:val="21"/>
          <w:szCs w:val="21"/>
        </w:rPr>
        <w:t>First scan used Semgrep's community Python ruleset — 151 rules covering common vulnerability patterns:</w:t>
      </w:r>
    </w:p>
    <w:p>
      <w:pPr>
        <w:pStyle w:val="Normal"/>
        <w:spacing w:before="60" w:after="60"/>
        <w:ind w:left="560"/>
        <w:rPr/>
      </w:pPr>
      <w:r>
        <w:rPr>
          <w:rFonts w:eastAsia="Courier New" w:cs="Courier New" w:ascii="Courier New" w:hAnsi="Courier New"/>
          <w:color w:val="C0392B"/>
          <w:sz w:val="18"/>
          <w:szCs w:val="18"/>
        </w:rPr>
        <w:t>semgrep --config=p/python app/</w:t>
      </w:r>
    </w:p>
    <w:p>
      <w:pPr>
        <w:pStyle w:val="Normal"/>
        <w:spacing w:before="0" w:after="100"/>
        <w:rPr/>
      </w:pPr>
      <w:r>
        <w:rPr/>
      </w:r>
    </w:p>
    <w:p>
      <w:pPr>
        <w:pStyle w:val="Heading2"/>
        <w:rPr/>
      </w:pPr>
      <w:r>
        <w:rPr>
          <w:rFonts w:eastAsia="Arial" w:cs="Arial" w:ascii="Arial" w:hAnsi="Arial"/>
          <w:b/>
          <w:bCs/>
          <w:color w:val="2E75B6"/>
          <w:sz w:val="26"/>
          <w:szCs w:val="26"/>
        </w:rPr>
        <w:t>3.2 OWASP Top 10 Ruleset</w:t>
      </w:r>
    </w:p>
    <w:p>
      <w:pPr>
        <w:pStyle w:val="Normal"/>
        <w:spacing w:before="0" w:after="120"/>
        <w:rPr/>
      </w:pPr>
      <w:r>
        <w:rPr>
          <w:rFonts w:eastAsia="Arial" w:cs="Arial"/>
          <w:color w:val="111111"/>
          <w:sz w:val="21"/>
          <w:szCs w:val="21"/>
        </w:rPr>
        <w:t>Second scan used the OWASP Top 10 specific ruleset — 544 rules mapped to the standard web vulnerability categories:</w:t>
      </w:r>
    </w:p>
    <w:p>
      <w:pPr>
        <w:pStyle w:val="Normal"/>
        <w:spacing w:before="60" w:after="60"/>
        <w:ind w:left="560"/>
        <w:rPr/>
      </w:pPr>
      <w:r>
        <w:rPr>
          <w:rFonts w:eastAsia="Courier New" w:cs="Courier New" w:ascii="Courier New" w:hAnsi="Courier New"/>
          <w:color w:val="C0392B"/>
          <w:sz w:val="18"/>
          <w:szCs w:val="18"/>
        </w:rPr>
        <w:t>semgrep --config=p/owasp-top-ten app/</w:t>
      </w:r>
    </w:p>
    <w:p>
      <w:pPr>
        <w:pStyle w:val="Normal"/>
        <w:spacing w:before="0" w:after="100"/>
        <w:rPr/>
      </w:pPr>
      <w:r>
        <w:rPr/>
      </w:r>
    </w:p>
    <w:p>
      <w:pPr>
        <w:pStyle w:val="Heading2"/>
        <w:rPr/>
      </w:pPr>
      <w:r>
        <w:rPr>
          <w:rFonts w:eastAsia="Arial" w:cs="Arial" w:ascii="Arial" w:hAnsi="Arial"/>
          <w:b/>
          <w:bCs/>
          <w:color w:val="2E75B6"/>
          <w:sz w:val="26"/>
          <w:szCs w:val="26"/>
        </w:rPr>
        <w:t>3.3 Custom SQLi Rule</w:t>
      </w:r>
    </w:p>
    <w:p>
      <w:pPr>
        <w:pStyle w:val="Normal"/>
        <w:spacing w:before="0" w:after="120"/>
        <w:rPr/>
      </w:pPr>
      <w:r>
        <w:rPr>
          <w:rFonts w:eastAsia="Arial" w:cs="Arial"/>
          <w:color w:val="111111"/>
          <w:sz w:val="21"/>
          <w:szCs w:val="21"/>
        </w:rPr>
        <w:t>A custom rule was written targeting the exact f-string SQL pattern seeded in the codebase:</w:t>
      </w:r>
    </w:p>
    <w:p>
      <w:pPr>
        <w:pStyle w:val="Normal"/>
        <w:spacing w:before="60" w:after="60"/>
        <w:ind w:left="560"/>
        <w:rPr/>
      </w:pPr>
      <w:r>
        <w:rPr>
          <w:rFonts w:eastAsia="Courier New" w:cs="Courier New" w:ascii="Courier New" w:hAnsi="Courier New"/>
          <w:color w:val="C0392B"/>
          <w:sz w:val="18"/>
          <w:szCs w:val="18"/>
        </w:rPr>
        <w:t>semgrep --config=rules/sqli-fstring.yaml app/</w:t>
      </w:r>
    </w:p>
    <w:p>
      <w:pPr>
        <w:pStyle w:val="Normal"/>
        <w:spacing w:before="0" w:after="100"/>
        <w:rPr/>
      </w:pPr>
      <w:r>
        <w:rPr/>
      </w:r>
    </w:p>
    <w:p>
      <w:pPr>
        <w:pStyle w:val="Heading2"/>
        <w:rPr/>
      </w:pPr>
      <w:r>
        <w:rPr>
          <w:rFonts w:eastAsia="Arial" w:cs="Arial" w:ascii="Arial" w:hAnsi="Arial"/>
          <w:b/>
          <w:bCs/>
          <w:color w:val="2E75B6"/>
          <w:sz w:val="26"/>
          <w:szCs w:val="26"/>
        </w:rPr>
        <w:t>3.4 Custom BAC Rule (Attempted)</w:t>
      </w:r>
    </w:p>
    <w:p>
      <w:pPr>
        <w:pStyle w:val="Normal"/>
        <w:spacing w:before="0" w:after="120"/>
        <w:rPr/>
      </w:pPr>
      <w:r>
        <w:rPr>
          <w:rFonts w:eastAsia="Arial" w:cs="Arial"/>
          <w:color w:val="111111"/>
          <w:sz w:val="21"/>
          <w:szCs w:val="21"/>
        </w:rPr>
        <w:t>A rule was written to detect admin routes without authorization dependencies:</w:t>
      </w:r>
    </w:p>
    <w:p>
      <w:pPr>
        <w:pStyle w:val="Normal"/>
        <w:spacing w:before="60" w:after="60"/>
        <w:ind w:left="560"/>
        <w:rPr/>
      </w:pPr>
      <w:r>
        <w:rPr>
          <w:rFonts w:eastAsia="Courier New" w:cs="Courier New" w:ascii="Courier New" w:hAnsi="Courier New"/>
          <w:color w:val="C0392B"/>
          <w:sz w:val="18"/>
          <w:szCs w:val="18"/>
        </w:rPr>
        <w:t>semgrep --config=rules/no-auth-check.yaml app/</w:t>
      </w:r>
    </w:p>
    <w:p>
      <w:pPr>
        <w:pStyle w:val="Normal"/>
        <w:spacing w:before="0" w:after="120"/>
        <w:rPr/>
      </w:pPr>
      <w:r>
        <w:rPr>
          <w:rFonts w:eastAsia="Arial" w:cs="Arial"/>
          <w:color w:val="111111"/>
          <w:sz w:val="21"/>
          <w:szCs w:val="21"/>
        </w:rPr>
        <w:t>Result: 0 findings — rule pattern did not match the FastAPI router decorator structure. This was a deliberate learning exercise to understand SAST limitations.</w:t>
      </w:r>
    </w:p>
    <w:p>
      <w:pPr>
        <w:pStyle w:val="Normal"/>
        <w:spacing w:before="0" w:after="100"/>
        <w:rPr/>
      </w:pPr>
      <w:r>
        <w:rPr/>
      </w:r>
    </w:p>
    <w:p>
      <w:pPr>
        <w:pStyle w:val="Heading1"/>
        <w:rPr/>
      </w:pPr>
      <w:r>
        <w:rPr>
          <w:rFonts w:eastAsia="Arial" w:cs="Arial" w:ascii="Arial" w:hAnsi="Arial"/>
          <w:b/>
          <w:bCs/>
          <w:color w:val="1F3864"/>
          <w:sz w:val="32"/>
          <w:szCs w:val="32"/>
        </w:rPr>
        <w:t>4. Findings &amp; Triage</w:t>
      </w:r>
    </w:p>
    <w:p>
      <w:pPr>
        <w:pStyle w:val="Normal"/>
        <w:spacing w:before="0" w:after="100"/>
        <w:rPr/>
      </w:pPr>
      <w:r>
        <w:rPr/>
      </w:r>
    </w:p>
    <w:tbl>
      <w:tblPr>
        <w:tblW w:w="10633" w:type="dxa"/>
        <w:jc w:val="left"/>
        <w:tblInd w:w="-474" w:type="dxa"/>
        <w:tblLayout w:type="fixed"/>
        <w:tblCellMar>
          <w:top w:w="80" w:type="dxa"/>
          <w:left w:w="120" w:type="dxa"/>
          <w:bottom w:w="80" w:type="dxa"/>
          <w:right w:w="120" w:type="dxa"/>
        </w:tblCellMar>
      </w:tblPr>
      <w:tblGrid>
        <w:gridCol w:w="367"/>
        <w:gridCol w:w="2066"/>
        <w:gridCol w:w="1250"/>
        <w:gridCol w:w="634"/>
        <w:gridCol w:w="1533"/>
        <w:gridCol w:w="1883"/>
        <w:gridCol w:w="2900"/>
      </w:tblGrid>
      <w:tr>
        <w:trPr/>
        <w:tc>
          <w:tcPr>
            <w:tcW w:w="367"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w:t>
            </w:r>
          </w:p>
        </w:tc>
        <w:tc>
          <w:tcPr>
            <w:tcW w:w="2066"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Rule ID</w:t>
            </w:r>
          </w:p>
        </w:tc>
        <w:tc>
          <w:tcPr>
            <w:tcW w:w="125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File</w:t>
            </w:r>
          </w:p>
        </w:tc>
        <w:tc>
          <w:tcPr>
            <w:tcW w:w="634"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Line</w:t>
            </w:r>
          </w:p>
        </w:tc>
        <w:tc>
          <w:tcPr>
            <w:tcW w:w="1533"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Vulnerability</w:t>
            </w:r>
          </w:p>
        </w:tc>
        <w:tc>
          <w:tcPr>
            <w:tcW w:w="1883"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Result</w:t>
            </w:r>
          </w:p>
        </w:tc>
        <w:tc>
          <w:tcPr>
            <w:tcW w:w="290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tabs>
                <w:tab w:val="clear" w:pos="720"/>
                <w:tab w:val="left" w:pos="0" w:leader="none"/>
              </w:tabs>
              <w:bidi w:val="0"/>
              <w:spacing w:before="0" w:after="0"/>
              <w:ind w:hanging="0" w:left="89" w:right="720"/>
              <w:jc w:val="left"/>
              <w:rPr/>
            </w:pPr>
            <w:r>
              <w:rPr>
                <w:rFonts w:eastAsia="Arial" w:cs="Arial"/>
                <w:b/>
                <w:bCs/>
                <w:color w:val="FFFFFF"/>
                <w:sz w:val="19"/>
                <w:szCs w:val="19"/>
              </w:rPr>
              <w:t>Notes</w:t>
            </w:r>
          </w:p>
        </w:tc>
      </w:tr>
      <w:tr>
        <w:trPr/>
        <w:tc>
          <w:tcPr>
            <w:tcW w:w="367"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1</w:t>
            </w:r>
          </w:p>
        </w:tc>
        <w:tc>
          <w:tcPr>
            <w:tcW w:w="2066"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ssrf-requests (built-in)</w:t>
            </w:r>
          </w:p>
        </w:tc>
        <w:tc>
          <w:tcPr>
            <w:tcW w:w="125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mechanic.py</w:t>
            </w:r>
          </w:p>
        </w:tc>
        <w:tc>
          <w:tcPr>
            <w:tcW w:w="634"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10</w:t>
            </w:r>
          </w:p>
        </w:tc>
        <w:tc>
          <w:tcPr>
            <w:tcW w:w="1533"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SSRF</w:t>
            </w:r>
          </w:p>
        </w:tc>
        <w:tc>
          <w:tcPr>
            <w:tcW w:w="1883"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 xml:space="preserve">✅ </w:t>
            </w:r>
            <w:r>
              <w:rPr>
                <w:rFonts w:eastAsia="Arial" w:cs="Arial"/>
                <w:sz w:val="19"/>
                <w:szCs w:val="19"/>
              </w:rPr>
              <w:t>True Positive</w:t>
            </w:r>
          </w:p>
        </w:tc>
        <w:tc>
          <w:tcPr>
            <w:tcW w:w="29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Caught by OWASP ruleset automatically</w:t>
            </w:r>
          </w:p>
        </w:tc>
      </w:tr>
      <w:tr>
        <w:trPr/>
        <w:tc>
          <w:tcPr>
            <w:tcW w:w="3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2</w:t>
            </w:r>
          </w:p>
        </w:tc>
        <w:tc>
          <w:tcPr>
            <w:tcW w:w="20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sql-injection-fstring (custom)</w:t>
            </w:r>
          </w:p>
        </w:tc>
        <w:tc>
          <w:tcPr>
            <w:tcW w:w="125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users.py</w:t>
            </w:r>
          </w:p>
        </w:tc>
        <w:tc>
          <w:tcPr>
            <w:tcW w:w="63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11</w:t>
            </w:r>
          </w:p>
        </w:tc>
        <w:tc>
          <w:tcPr>
            <w:tcW w:w="153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SQLi</w:t>
            </w:r>
          </w:p>
        </w:tc>
        <w:tc>
          <w:tcPr>
            <w:tcW w:w="188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 xml:space="preserve">✅ </w:t>
            </w:r>
            <w:r>
              <w:rPr>
                <w:rFonts w:eastAsia="Arial" w:cs="Arial"/>
                <w:sz w:val="19"/>
                <w:szCs w:val="19"/>
              </w:rPr>
              <w:t>True Positive</w:t>
            </w:r>
          </w:p>
        </w:tc>
        <w:tc>
          <w:tcPr>
            <w:tcW w:w="2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Custom rule matched f-string pattern exactly</w:t>
            </w:r>
          </w:p>
        </w:tc>
      </w:tr>
      <w:tr>
        <w:trPr/>
        <w:tc>
          <w:tcPr>
            <w:tcW w:w="367"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3</w:t>
            </w:r>
          </w:p>
        </w:tc>
        <w:tc>
          <w:tcPr>
            <w:tcW w:w="2066"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no-auth-check (custom)</w:t>
            </w:r>
          </w:p>
        </w:tc>
        <w:tc>
          <w:tcPr>
            <w:tcW w:w="125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admin.py</w:t>
            </w:r>
          </w:p>
        </w:tc>
        <w:tc>
          <w:tcPr>
            <w:tcW w:w="634"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w:t>
            </w:r>
          </w:p>
        </w:tc>
        <w:tc>
          <w:tcPr>
            <w:tcW w:w="1533"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Broken Access Control</w:t>
            </w:r>
          </w:p>
        </w:tc>
        <w:tc>
          <w:tcPr>
            <w:tcW w:w="1883"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 xml:space="preserve">❌ </w:t>
            </w:r>
            <w:r>
              <w:rPr>
                <w:rFonts w:eastAsia="Arial" w:cs="Arial"/>
                <w:sz w:val="19"/>
                <w:szCs w:val="19"/>
              </w:rPr>
              <w:t>False Negative</w:t>
            </w:r>
          </w:p>
        </w:tc>
        <w:tc>
          <w:tcPr>
            <w:tcW w:w="29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Pattern too shallow for router decorator context</w:t>
            </w:r>
          </w:p>
        </w:tc>
      </w:tr>
      <w:tr>
        <w:trPr/>
        <w:tc>
          <w:tcPr>
            <w:tcW w:w="36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4</w:t>
            </w:r>
          </w:p>
        </w:tc>
        <w:tc>
          <w:tcPr>
            <w:tcW w:w="206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any rule</w:t>
            </w:r>
          </w:p>
        </w:tc>
        <w:tc>
          <w:tcPr>
            <w:tcW w:w="125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orders.py</w:t>
            </w:r>
          </w:p>
        </w:tc>
        <w:tc>
          <w:tcPr>
            <w:tcW w:w="63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w:t>
            </w:r>
          </w:p>
        </w:tc>
        <w:tc>
          <w:tcPr>
            <w:tcW w:w="153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BOLA</w:t>
            </w:r>
          </w:p>
        </w:tc>
        <w:tc>
          <w:tcPr>
            <w:tcW w:w="188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 xml:space="preserve">❌ </w:t>
            </w:r>
            <w:r>
              <w:rPr>
                <w:rFonts w:eastAsia="Arial" w:cs="Arial"/>
                <w:sz w:val="19"/>
                <w:szCs w:val="19"/>
              </w:rPr>
              <w:t>False Negative</w:t>
            </w:r>
          </w:p>
        </w:tc>
        <w:tc>
          <w:tcPr>
            <w:tcW w:w="2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Logic flaw — no dangerous pattern exists to match</w:t>
            </w:r>
          </w:p>
        </w:tc>
      </w:tr>
    </w:tbl>
    <w:p>
      <w:pPr>
        <w:pStyle w:val="Normal"/>
        <w:spacing w:before="0" w:after="100"/>
        <w:rPr/>
      </w:pPr>
      <w:r>
        <w:rPr/>
      </w:r>
    </w:p>
    <w:p>
      <w:pPr>
        <w:pStyle w:val="Normal"/>
        <w:spacing w:before="0" w:after="120"/>
        <w:rPr/>
      </w:pPr>
      <w:r>
        <w:rPr>
          <w:rFonts w:eastAsia="Arial" w:cs="Arial"/>
          <w:color w:val="111111"/>
          <w:sz w:val="21"/>
          <w:szCs w:val="21"/>
        </w:rPr>
        <w:t>SAST Coverage: 2 out of 4 seeded vulnerabilities detected. 50% detection rate — expected for this vulnerability mix.</w:t>
      </w:r>
    </w:p>
    <w:p>
      <w:pPr>
        <w:pStyle w:val="Normal"/>
        <w:spacing w:before="0" w:after="100"/>
        <w:rPr/>
      </w:pPr>
      <w:r>
        <w:rPr/>
      </w:r>
    </w:p>
    <w:p>
      <w:pPr>
        <w:pStyle w:val="Heading1"/>
        <w:rPr/>
      </w:pPr>
      <w:r>
        <w:rPr>
          <w:rFonts w:eastAsia="Arial" w:cs="Arial" w:ascii="Arial" w:hAnsi="Arial"/>
          <w:b/>
          <w:bCs/>
          <w:color w:val="1F3864"/>
          <w:sz w:val="32"/>
          <w:szCs w:val="32"/>
        </w:rPr>
        <w:t>5. Why SAST Missed BOLA and Broken Access Control</w:t>
      </w:r>
    </w:p>
    <w:p>
      <w:pPr>
        <w:pStyle w:val="Heading2"/>
        <w:rPr/>
      </w:pPr>
      <w:r>
        <w:rPr>
          <w:rFonts w:eastAsia="Arial" w:cs="Arial" w:ascii="Arial" w:hAnsi="Arial"/>
          <w:b/>
          <w:bCs/>
          <w:color w:val="2E75B6"/>
          <w:sz w:val="26"/>
          <w:szCs w:val="26"/>
        </w:rPr>
        <w:t>5.1 Pattern-Based vs Logic-Based Vulnerabilities</w:t>
      </w:r>
    </w:p>
    <w:p>
      <w:pPr>
        <w:pStyle w:val="Normal"/>
        <w:spacing w:before="0" w:after="120"/>
        <w:rPr/>
      </w:pPr>
      <w:r>
        <w:rPr>
          <w:rFonts w:eastAsia="Arial" w:cs="Arial"/>
          <w:color w:val="111111"/>
          <w:sz w:val="21"/>
          <w:szCs w:val="21"/>
        </w:rPr>
        <w:t>SSRF and SQLi have identifiable dangerous code patterns:</w:t>
      </w:r>
    </w:p>
    <w:p>
      <w:pPr>
        <w:pStyle w:val="Normal"/>
        <w:spacing w:before="60" w:after="60"/>
        <w:ind w:left="560"/>
        <w:rPr/>
      </w:pPr>
      <w:r>
        <w:rPr>
          <w:rFonts w:eastAsia="Courier New" w:cs="Courier New" w:ascii="Courier New" w:hAnsi="Courier New"/>
          <w:color w:val="C0392B"/>
          <w:sz w:val="18"/>
          <w:szCs w:val="18"/>
        </w:rPr>
        <w:t>requests.get(user_input)          ← dangerous pattern, flaggable</w:t>
      </w:r>
    </w:p>
    <w:p>
      <w:pPr>
        <w:pStyle w:val="Normal"/>
        <w:spacing w:before="60" w:after="60"/>
        <w:ind w:left="560"/>
        <w:rPr/>
      </w:pPr>
      <w:r>
        <w:rPr>
          <w:rFonts w:eastAsia="Courier New" w:cs="Courier New" w:ascii="Courier New" w:hAnsi="Courier New"/>
          <w:color w:val="C0392B"/>
          <w:sz w:val="18"/>
          <w:szCs w:val="18"/>
        </w:rPr>
        <w:t>db.execute(f"...{var}...")        ← dangerous pattern, flaggable</w:t>
      </w:r>
    </w:p>
    <w:p>
      <w:pPr>
        <w:pStyle w:val="Normal"/>
        <w:spacing w:before="0" w:after="100"/>
        <w:rPr/>
      </w:pPr>
      <w:r>
        <w:rPr/>
      </w:r>
    </w:p>
    <w:p>
      <w:pPr>
        <w:pStyle w:val="Normal"/>
        <w:spacing w:before="0" w:after="120"/>
        <w:rPr/>
      </w:pPr>
      <w:r>
        <w:rPr>
          <w:rFonts w:eastAsia="Arial" w:cs="Arial"/>
          <w:color w:val="111111"/>
          <w:sz w:val="21"/>
          <w:szCs w:val="21"/>
        </w:rPr>
        <w:t>BOLA has no dangerous pattern — the vulnerable code is normal ORM:</w:t>
      </w:r>
    </w:p>
    <w:p>
      <w:pPr>
        <w:pStyle w:val="Normal"/>
        <w:spacing w:before="60" w:after="60"/>
        <w:ind w:left="560"/>
        <w:rPr/>
      </w:pPr>
      <w:r>
        <w:rPr>
          <w:rFonts w:eastAsia="Courier New" w:cs="Courier New" w:ascii="Courier New" w:hAnsi="Courier New"/>
          <w:color w:val="C0392B"/>
          <w:sz w:val="18"/>
          <w:szCs w:val="18"/>
        </w:rPr>
        <w:t>db.query(Order).filter(Order.id == order_id).first()   ← looks fine</w:t>
      </w:r>
    </w:p>
    <w:p>
      <w:pPr>
        <w:pStyle w:val="Normal"/>
        <w:spacing w:before="0" w:after="120"/>
        <w:rPr/>
      </w:pPr>
      <w:r>
        <w:rPr>
          <w:rFonts w:eastAsia="Arial" w:cs="Arial"/>
          <w:color w:val="111111"/>
          <w:sz w:val="21"/>
          <w:szCs w:val="21"/>
        </w:rPr>
        <w:t>The vulnerability is the absence of an ownership check — not the presence of a dangerous call. Semgrep cannot flag missing code.</w:t>
      </w:r>
    </w:p>
    <w:p>
      <w:pPr>
        <w:pStyle w:val="Normal"/>
        <w:spacing w:before="0" w:after="10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2E75B6"/>
              <w:left w:val="single" w:sz="2" w:space="0" w:color="2E75B6"/>
              <w:bottom w:val="single" w:sz="2" w:space="0" w:color="CCCCCC"/>
              <w:right w:val="single" w:sz="2" w:space="0" w:color="CCCCCC"/>
            </w:tcBorders>
            <w:shd w:fill="FFF8E7" w:val="clear"/>
          </w:tcPr>
          <w:p>
            <w:pPr>
              <w:pStyle w:val="Normal"/>
              <w:rPr/>
            </w:pPr>
            <w:r>
              <w:rPr>
                <w:rFonts w:eastAsia="Arial" w:cs="Arial"/>
                <w:b/>
                <w:bCs/>
                <w:color w:val="1F3864"/>
                <w:sz w:val="20"/>
                <w:szCs w:val="20"/>
              </w:rPr>
              <w:t>Core SAST Limitation</w:t>
            </w:r>
          </w:p>
          <w:p>
            <w:pPr>
              <w:pStyle w:val="Normal"/>
              <w:spacing w:before="0" w:after="0"/>
              <w:rPr/>
            </w:pPr>
            <w:r>
              <w:rPr>
                <w:rFonts w:eastAsia="Arial" w:cs="Arial"/>
                <w:color w:val="333333"/>
                <w:sz w:val="20"/>
                <w:szCs w:val="20"/>
              </w:rPr>
              <w:t>SAST catches what is written wrong. It cannot catch what is not written at all. Authorization logic flaws, missing ownership checks, and business logic bugs require different detection methods: CodeQL taint analysis, manual review, or authorization unit tests.</w:t>
            </w:r>
          </w:p>
        </w:tc>
      </w:tr>
    </w:tbl>
    <w:p>
      <w:pPr>
        <w:pStyle w:val="Normal"/>
        <w:spacing w:before="0" w:after="100"/>
        <w:rPr/>
      </w:pPr>
      <w:r>
        <w:rPr/>
      </w:r>
    </w:p>
    <w:p>
      <w:pPr>
        <w:pStyle w:val="Heading2"/>
        <w:rPr/>
      </w:pPr>
      <w:r>
        <w:rPr>
          <w:rFonts w:eastAsia="Arial" w:cs="Arial" w:ascii="Arial" w:hAnsi="Arial"/>
          <w:b/>
          <w:bCs/>
          <w:color w:val="2E75B6"/>
          <w:sz w:val="26"/>
          <w:szCs w:val="26"/>
        </w:rPr>
        <w:t>5.2 False Negative on BAC Rule</w:t>
      </w:r>
    </w:p>
    <w:p>
      <w:pPr>
        <w:pStyle w:val="Normal"/>
        <w:spacing w:before="0" w:after="120"/>
        <w:rPr/>
      </w:pPr>
      <w:r>
        <w:rPr>
          <w:rFonts w:eastAsia="Arial" w:cs="Arial"/>
          <w:color w:val="111111"/>
          <w:sz w:val="21"/>
          <w:szCs w:val="21"/>
        </w:rPr>
        <w:t>The custom no-auth-check rule used a pattern expecting string path literals in the decorator. FastAPI routes use APIRouter with path strings that Semgrep's pattern engine matched differently from the rule's expected shape. This is a rule-writing problem, not a fundamental limitation — a more precisely crafted rule using Semgrep's metavariable-pattern syntax could catch it. However, this level of rule engineering takes significant time and is why commercial SAST tools cost money.</w:t>
      </w:r>
    </w:p>
    <w:p>
      <w:pPr>
        <w:pStyle w:val="Normal"/>
        <w:spacing w:before="0" w:after="100"/>
        <w:rPr/>
      </w:pPr>
      <w:r>
        <w:rPr/>
      </w:r>
    </w:p>
    <w:p>
      <w:pPr>
        <w:pStyle w:val="Heading1"/>
        <w:rPr/>
      </w:pPr>
      <w:r>
        <w:rPr>
          <w:rFonts w:eastAsia="Arial" w:cs="Arial" w:ascii="Arial" w:hAnsi="Arial"/>
          <w:b/>
          <w:bCs/>
          <w:color w:val="1F3864"/>
          <w:sz w:val="32"/>
          <w:szCs w:val="32"/>
        </w:rPr>
        <w:t>6. Custom Rule — SQLi F-String Detection</w:t>
      </w:r>
    </w:p>
    <w:p>
      <w:pPr>
        <w:pStyle w:val="Heading2"/>
        <w:rPr/>
      </w:pPr>
      <w:r>
        <w:rPr>
          <w:rFonts w:eastAsia="Arial" w:cs="Arial" w:ascii="Arial" w:hAnsi="Arial"/>
          <w:b/>
          <w:bCs/>
          <w:color w:val="2E75B6"/>
          <w:sz w:val="26"/>
          <w:szCs w:val="26"/>
        </w:rPr>
        <w:t>6.1 The Rule</w:t>
      </w:r>
    </w:p>
    <w:p>
      <w:pPr>
        <w:pStyle w:val="Normal"/>
        <w:spacing w:before="60" w:after="60"/>
        <w:ind w:left="560"/>
        <w:rPr/>
      </w:pPr>
      <w:r>
        <w:rPr>
          <w:rFonts w:eastAsia="Courier New" w:cs="Courier New" w:ascii="Courier New" w:hAnsi="Courier New"/>
          <w:color w:val="C0392B"/>
          <w:sz w:val="18"/>
          <w:szCs w:val="18"/>
        </w:rPr>
        <w:t>rules:</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 id: sql-injection-fstring</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patterns:</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 pattern: db.execute(f"...")</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message: SQLi via f-string — use parameterized queries</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languages: [python]</w:t>
      </w:r>
    </w:p>
    <w:p>
      <w:pPr>
        <w:pStyle w:val="Normal"/>
        <w:spacing w:before="60" w:after="60"/>
        <w:ind w:left="560"/>
        <w:rPr/>
      </w:pPr>
      <w:r>
        <w:rPr>
          <w:rFonts w:eastAsia="Courier New" w:cs="Courier New" w:ascii="Courier New" w:hAnsi="Courier New"/>
          <w:color w:val="C0392B"/>
          <w:sz w:val="18"/>
          <w:szCs w:val="18"/>
        </w:rPr>
        <w:t xml:space="preserve">    </w:t>
      </w:r>
      <w:r>
        <w:rPr>
          <w:rFonts w:eastAsia="Courier New" w:cs="Courier New" w:ascii="Courier New" w:hAnsi="Courier New"/>
          <w:color w:val="C0392B"/>
          <w:sz w:val="18"/>
          <w:szCs w:val="18"/>
        </w:rPr>
        <w:t>severity: ERROR</w:t>
      </w:r>
    </w:p>
    <w:p>
      <w:pPr>
        <w:pStyle w:val="Normal"/>
        <w:spacing w:before="0" w:after="100"/>
        <w:rPr/>
      </w:pPr>
      <w:r>
        <w:rPr/>
      </w:r>
    </w:p>
    <w:p>
      <w:pPr>
        <w:pStyle w:val="Heading2"/>
        <w:rPr/>
      </w:pPr>
      <w:r>
        <w:rPr>
          <w:rFonts w:eastAsia="Arial" w:cs="Arial" w:ascii="Arial" w:hAnsi="Arial"/>
          <w:b/>
          <w:bCs/>
          <w:color w:val="2E75B6"/>
          <w:sz w:val="26"/>
          <w:szCs w:val="26"/>
        </w:rPr>
        <w:t>6.2 What It Matched</w:t>
      </w:r>
    </w:p>
    <w:p>
      <w:pPr>
        <w:pStyle w:val="Normal"/>
        <w:spacing w:before="0" w:after="120"/>
        <w:rPr/>
      </w:pPr>
      <w:r>
        <w:rPr>
          <w:rFonts w:eastAsia="Arial" w:cs="Arial"/>
          <w:color w:val="111111"/>
          <w:sz w:val="21"/>
          <w:szCs w:val="21"/>
        </w:rPr>
        <w:t>The rule fired on users.py line 11:</w:t>
      </w:r>
    </w:p>
    <w:p>
      <w:pPr>
        <w:pStyle w:val="Normal"/>
        <w:spacing w:before="60" w:after="60"/>
        <w:ind w:left="560"/>
        <w:rPr/>
      </w:pPr>
      <w:r>
        <w:rPr>
          <w:rFonts w:eastAsia="Courier New" w:cs="Courier New" w:ascii="Courier New" w:hAnsi="Courier New"/>
          <w:color w:val="C0392B"/>
          <w:sz w:val="18"/>
          <w:szCs w:val="18"/>
        </w:rPr>
        <w:t>result = db.execute(f"SELECT * FROM users WHERE email='{name}'")</w:t>
      </w:r>
    </w:p>
    <w:p>
      <w:pPr>
        <w:pStyle w:val="Normal"/>
        <w:spacing w:before="0" w:after="120"/>
        <w:rPr/>
      </w:pPr>
      <w:r>
        <w:rPr>
          <w:rFonts w:eastAsia="Arial" w:cs="Arial"/>
          <w:color w:val="111111"/>
          <w:sz w:val="21"/>
          <w:szCs w:val="21"/>
        </w:rPr>
        <w:t>Semgrep identified the f-string as a template string with interpolated user input passed directly to a database execute call — the exact SQLi pattern.</w:t>
      </w:r>
    </w:p>
    <w:p>
      <w:pPr>
        <w:pStyle w:val="Normal"/>
        <w:spacing w:before="0" w:after="100"/>
        <w:rPr/>
      </w:pPr>
      <w:r>
        <w:rPr/>
      </w:r>
    </w:p>
    <w:p>
      <w:pPr>
        <w:pStyle w:val="Heading2"/>
        <w:rPr/>
      </w:pPr>
      <w:r>
        <w:rPr>
          <w:rFonts w:eastAsia="Arial" w:cs="Arial" w:ascii="Arial" w:hAnsi="Arial"/>
          <w:b/>
          <w:bCs/>
          <w:color w:val="2E75B6"/>
          <w:sz w:val="26"/>
          <w:szCs w:val="26"/>
        </w:rPr>
        <w:t>6.3 Why Custom Rules Matter</w:t>
      </w:r>
    </w:p>
    <w:p>
      <w:pPr>
        <w:pStyle w:val="Normal"/>
        <w:spacing w:before="0" w:after="120"/>
        <w:rPr/>
      </w:pPr>
      <w:r>
        <w:rPr>
          <w:rFonts w:eastAsia="Arial" w:cs="Arial"/>
          <w:color w:val="111111"/>
          <w:sz w:val="21"/>
          <w:szCs w:val="21"/>
        </w:rPr>
        <w:t>Built-in rulesets are generic — they cover common patterns across all codebases. A custom rule targets your specific codebase's patterns. In a real AppSec engagement, you write custom rules for the patterns your development team actually uses — their ORM wrapper names, their internal utility functions, their specific anti-patterns. This is what separates a security scan from a security program.</w:t>
      </w:r>
    </w:p>
    <w:p>
      <w:pPr>
        <w:pStyle w:val="Normal"/>
        <w:spacing w:before="0" w:after="100"/>
        <w:rPr/>
      </w:pPr>
      <w:r>
        <w:rPr/>
      </w:r>
    </w:p>
    <w:p>
      <w:pPr>
        <w:pStyle w:val="Heading1"/>
        <w:rPr/>
      </w:pPr>
      <w:r>
        <w:rPr>
          <w:rFonts w:eastAsia="Arial" w:cs="Arial" w:ascii="Arial" w:hAnsi="Arial"/>
          <w:b/>
          <w:bCs/>
          <w:color w:val="1F3864"/>
          <w:sz w:val="32"/>
          <w:szCs w:val="32"/>
        </w:rPr>
        <w:t>7. Version Control — Git Initialization</w:t>
      </w:r>
    </w:p>
    <w:p>
      <w:pPr>
        <w:pStyle w:val="Normal"/>
        <w:spacing w:before="0" w:after="120"/>
        <w:rPr/>
      </w:pPr>
      <w:r>
        <w:rPr>
          <w:rFonts w:eastAsia="Arial" w:cs="Arial"/>
          <w:color w:val="111111"/>
          <w:sz w:val="21"/>
          <w:szCs w:val="21"/>
        </w:rPr>
        <w:t>The project was initialized as a Git repository and committed at the end of Week 3. This establishes the baseline for CI/CD integration in Weeks 7-8.</w:t>
      </w:r>
    </w:p>
    <w:p>
      <w:pPr>
        <w:pStyle w:val="Normal"/>
        <w:spacing w:before="0" w:after="100"/>
        <w:rPr/>
      </w:pPr>
      <w:r>
        <w:rPr/>
      </w:r>
    </w:p>
    <w:tbl>
      <w:tblPr>
        <w:tblW w:w="9360" w:type="dxa"/>
        <w:jc w:val="left"/>
        <w:tblInd w:w="0" w:type="dxa"/>
        <w:tblLayout w:type="fixed"/>
        <w:tblCellMar>
          <w:top w:w="80" w:type="dxa"/>
          <w:left w:w="120" w:type="dxa"/>
          <w:bottom w:w="80" w:type="dxa"/>
          <w:right w:w="120" w:type="dxa"/>
        </w:tblCellMar>
      </w:tblPr>
      <w:tblGrid>
        <w:gridCol w:w="1400"/>
        <w:gridCol w:w="4800"/>
        <w:gridCol w:w="3160"/>
      </w:tblGrid>
      <w:tr>
        <w:trPr/>
        <w:tc>
          <w:tcPr>
            <w:tcW w:w="1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Commit</w:t>
            </w:r>
          </w:p>
        </w:tc>
        <w:tc>
          <w:tcPr>
            <w:tcW w:w="4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Message</w:t>
            </w:r>
          </w:p>
        </w:tc>
        <w:tc>
          <w:tcPr>
            <w:tcW w:w="3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Contents</w:t>
            </w:r>
          </w:p>
        </w:tc>
      </w:tr>
      <w:tr>
        <w:trPr/>
        <w:tc>
          <w:tcPr>
            <w:tcW w:w="14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764781a</w:t>
            </w:r>
          </w:p>
        </w:tc>
        <w:tc>
          <w:tcPr>
            <w:tcW w:w="480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Week 1-2: Vulnerable FastAPI app with seeded SQLi, BOLA, BAC, SSRF vulns</w:t>
            </w:r>
          </w:p>
        </w:tc>
        <w:tc>
          <w:tcPr>
            <w:tcW w:w="316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Full app codebase, Dockerfile, docker-compose, requirements</w:t>
            </w:r>
          </w:p>
        </w:tc>
      </w:tr>
    </w:tbl>
    <w:p>
      <w:pPr>
        <w:pStyle w:val="Normal"/>
        <w:spacing w:before="0" w:after="10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2E75B6"/>
              <w:left w:val="single" w:sz="2" w:space="0" w:color="2E75B6"/>
              <w:bottom w:val="single" w:sz="2" w:space="0" w:color="CCCCCC"/>
              <w:right w:val="single" w:sz="2" w:space="0" w:color="CCCCCC"/>
            </w:tcBorders>
            <w:shd w:fill="EBF3FB" w:val="clear"/>
          </w:tcPr>
          <w:p>
            <w:pPr>
              <w:pStyle w:val="Normal"/>
              <w:rPr/>
            </w:pPr>
            <w:r>
              <w:rPr>
                <w:rFonts w:eastAsia="Arial" w:cs="Arial"/>
                <w:b/>
                <w:bCs/>
                <w:color w:val="1F3864"/>
                <w:sz w:val="20"/>
                <w:szCs w:val="20"/>
              </w:rPr>
              <w:t>GitHub Actions — Deferred</w:t>
            </w:r>
          </w:p>
          <w:p>
            <w:pPr>
              <w:pStyle w:val="Normal"/>
              <w:spacing w:before="0" w:after="0"/>
              <w:rPr/>
            </w:pPr>
            <w:r>
              <w:rPr>
                <w:rFonts w:eastAsia="Arial" w:cs="Arial"/>
                <w:color w:val="333333"/>
                <w:sz w:val="20"/>
                <w:szCs w:val="20"/>
              </w:rPr>
              <w:t>CI/CD pipeline via GitHub Actions will be configured in Week 7 once a remote repository is created. The workflow file (.github/workflows/sast.yml) will run Semgrep on every push and fail the pipeline on HIGH severity findings.</w:t>
            </w:r>
          </w:p>
        </w:tc>
      </w:tr>
    </w:tbl>
    <w:p>
      <w:pPr>
        <w:pStyle w:val="Normal"/>
        <w:spacing w:before="0" w:after="100"/>
        <w:rPr/>
      </w:pPr>
      <w:r>
        <w:rPr/>
      </w:r>
    </w:p>
    <w:p>
      <w:pPr>
        <w:pStyle w:val="Heading1"/>
        <w:rPr/>
      </w:pPr>
      <w:r>
        <w:rPr>
          <w:rFonts w:eastAsia="Arial" w:cs="Arial" w:ascii="Arial" w:hAnsi="Arial"/>
          <w:b/>
          <w:bCs/>
          <w:color w:val="1F3864"/>
          <w:sz w:val="32"/>
          <w:szCs w:val="32"/>
        </w:rPr>
        <w:t>8. Key Learnings</w:t>
      </w:r>
    </w:p>
    <w:p>
      <w:pPr>
        <w:pStyle w:val="Heading2"/>
        <w:rPr/>
      </w:pPr>
      <w:r>
        <w:rPr>
          <w:rFonts w:eastAsia="Arial" w:cs="Arial" w:ascii="Arial" w:hAnsi="Arial"/>
          <w:b/>
          <w:bCs/>
          <w:color w:val="2E75B6"/>
          <w:sz w:val="26"/>
          <w:szCs w:val="26"/>
        </w:rPr>
        <w:t>8.1 SAST Is a First Pass, Not a Complete Solution</w:t>
      </w:r>
    </w:p>
    <w:p>
      <w:pPr>
        <w:pStyle w:val="Normal"/>
        <w:spacing w:before="0" w:after="120"/>
        <w:rPr/>
      </w:pPr>
      <w:r>
        <w:rPr>
          <w:rFonts w:eastAsia="Arial" w:cs="Arial"/>
          <w:color w:val="111111"/>
          <w:sz w:val="21"/>
          <w:szCs w:val="21"/>
        </w:rPr>
        <w:t>Running 544 rules across 9 files in under a second is powerful. But the 50% detection rate on intentionally seeded vulnerabilities shows it is a first pass — not a complete security review. In a real security program, SAST findings go into a triage queue that feeds manual review and dynamic testing.</w:t>
      </w:r>
    </w:p>
    <w:p>
      <w:pPr>
        <w:pStyle w:val="Normal"/>
        <w:spacing w:before="0" w:after="100"/>
        <w:rPr/>
      </w:pPr>
      <w:r>
        <w:rPr/>
      </w:r>
    </w:p>
    <w:p>
      <w:pPr>
        <w:pStyle w:val="Heading2"/>
        <w:rPr/>
      </w:pPr>
      <w:r>
        <w:rPr>
          <w:rFonts w:eastAsia="Arial" w:cs="Arial" w:ascii="Arial" w:hAnsi="Arial"/>
          <w:b/>
          <w:bCs/>
          <w:color w:val="2E75B6"/>
          <w:sz w:val="26"/>
          <w:szCs w:val="26"/>
        </w:rPr>
        <w:t>8.2 Knowing the Bug Makes You a Better Rule Writer</w:t>
      </w:r>
    </w:p>
    <w:p>
      <w:pPr>
        <w:pStyle w:val="Normal"/>
        <w:spacing w:before="0" w:after="120"/>
        <w:rPr/>
      </w:pPr>
      <w:r>
        <w:rPr>
          <w:rFonts w:eastAsia="Arial" w:cs="Arial"/>
          <w:color w:val="111111"/>
          <w:sz w:val="21"/>
          <w:szCs w:val="21"/>
        </w:rPr>
        <w:t>Writing the custom SQLi rule was straightforward because the vulnerability was seeded by hand. The exact pattern was known before the rule was written. In real AppSec work, this knowledge comes from manual code review or from a reported vulnerability — then a rule is written to catch the same pattern everywhere else in the codebase. This is called variant analysis.</w:t>
      </w:r>
    </w:p>
    <w:p>
      <w:pPr>
        <w:pStyle w:val="Normal"/>
        <w:spacing w:before="0" w:after="100"/>
        <w:rPr/>
      </w:pPr>
      <w:r>
        <w:rPr/>
      </w:r>
    </w:p>
    <w:p>
      <w:pPr>
        <w:pStyle w:val="Heading2"/>
        <w:rPr/>
      </w:pPr>
      <w:r>
        <w:rPr>
          <w:rFonts w:eastAsia="Arial" w:cs="Arial" w:ascii="Arial" w:hAnsi="Arial"/>
          <w:b/>
          <w:bCs/>
          <w:color w:val="2E75B6"/>
          <w:sz w:val="26"/>
          <w:szCs w:val="26"/>
        </w:rPr>
        <w:t>8.3 False Negatives Are Worse Than False Positives</w:t>
      </w:r>
    </w:p>
    <w:p>
      <w:pPr>
        <w:pStyle w:val="Normal"/>
        <w:spacing w:before="0" w:after="120"/>
        <w:rPr/>
      </w:pPr>
      <w:r>
        <w:rPr>
          <w:rFonts w:eastAsia="Arial" w:cs="Arial"/>
          <w:color w:val="111111"/>
          <w:sz w:val="21"/>
          <w:szCs w:val="21"/>
        </w:rPr>
        <w:t>A false positive wastes a developer's time investigating a safe finding. A false negative gives a false sense of security — the tool ran clean, but the vulnerability exists. The BOLA false negative is the more dangerous result. This is why defense in depth matters: multiple detection layers (SAST + fuzzing + manual review + unit tests) where each catches what the others miss.</w:t>
      </w:r>
    </w:p>
    <w:p>
      <w:pPr>
        <w:pStyle w:val="Normal"/>
        <w:spacing w:before="0" w:after="100"/>
        <w:rPr/>
      </w:pPr>
      <w:r>
        <w:rPr/>
      </w:r>
    </w:p>
    <w:p>
      <w:pPr>
        <w:pStyle w:val="Heading2"/>
        <w:rPr/>
      </w:pPr>
      <w:r>
        <w:rPr>
          <w:rFonts w:eastAsia="Arial" w:cs="Arial" w:ascii="Arial" w:hAnsi="Arial"/>
          <w:b/>
          <w:bCs/>
          <w:color w:val="2E75B6"/>
          <w:sz w:val="26"/>
          <w:szCs w:val="26"/>
        </w:rPr>
        <w:t>8.4 The CI/CD Gate Is the Real Value</w:t>
      </w:r>
    </w:p>
    <w:p>
      <w:pPr>
        <w:pStyle w:val="Normal"/>
        <w:spacing w:before="0" w:after="120"/>
        <w:rPr/>
      </w:pPr>
      <w:r>
        <w:rPr>
          <w:rFonts w:eastAsia="Arial" w:cs="Arial"/>
          <w:color w:val="111111"/>
          <w:sz w:val="21"/>
          <w:szCs w:val="21"/>
        </w:rPr>
        <w:t>Semgrep run manually is useful. Semgrep run automatically on every commit is transformative. When the pipeline fails on a HIGH finding, the developer sees the vulnerability before it reaches code review — at the cheapest possible moment to fix it. The cost of fixing a bug in development is orders of magnitude lower than fixing it in production.</w:t>
      </w:r>
    </w:p>
    <w:p>
      <w:pPr>
        <w:pStyle w:val="Normal"/>
        <w:spacing w:before="0" w:after="100"/>
        <w:rPr/>
      </w:pPr>
      <w:r>
        <w:rPr/>
      </w:r>
    </w:p>
    <w:p>
      <w:pPr>
        <w:pStyle w:val="Heading1"/>
        <w:rPr/>
      </w:pPr>
      <w:r>
        <w:rPr>
          <w:rFonts w:eastAsia="Arial" w:cs="Arial" w:ascii="Arial" w:hAnsi="Arial"/>
          <w:b/>
          <w:bCs/>
          <w:color w:val="1F3864"/>
          <w:sz w:val="32"/>
          <w:szCs w:val="32"/>
        </w:rPr>
        <w:t>9. Week 3 Completion Summary</w:t>
      </w:r>
    </w:p>
    <w:p>
      <w:pPr>
        <w:pStyle w:val="Normal"/>
        <w:spacing w:before="0" w:after="100"/>
        <w:rPr/>
      </w:pPr>
      <w:r>
        <w:rPr/>
      </w:r>
    </w:p>
    <w:tbl>
      <w:tblPr>
        <w:tblW w:w="9360" w:type="dxa"/>
        <w:jc w:val="left"/>
        <w:tblInd w:w="0" w:type="dxa"/>
        <w:tblLayout w:type="fixed"/>
        <w:tblCellMar>
          <w:top w:w="80" w:type="dxa"/>
          <w:left w:w="120" w:type="dxa"/>
          <w:bottom w:w="80" w:type="dxa"/>
          <w:right w:w="120" w:type="dxa"/>
        </w:tblCellMar>
      </w:tblPr>
      <w:tblGrid>
        <w:gridCol w:w="5399"/>
        <w:gridCol w:w="3960"/>
      </w:tblGrid>
      <w:tr>
        <w:trPr/>
        <w:tc>
          <w:tcPr>
            <w:tcW w:w="5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Task</w:t>
            </w:r>
          </w:p>
        </w:tc>
        <w:tc>
          <w:tcPr>
            <w:tcW w:w="39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Status</w:t>
            </w:r>
          </w:p>
        </w:tc>
      </w:tr>
      <w:tr>
        <w:trPr/>
        <w:tc>
          <w:tcPr>
            <w:tcW w:w="5399"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Semgrep installed and baseline scan run</w:t>
            </w:r>
          </w:p>
        </w:tc>
        <w:tc>
          <w:tcPr>
            <w:tcW w:w="396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 xml:space="preserve">✅ </w:t>
            </w:r>
            <w:r>
              <w:rPr>
                <w:rFonts w:eastAsia="Arial" w:cs="Arial"/>
                <w:sz w:val="19"/>
                <w:szCs w:val="19"/>
              </w:rPr>
              <w:t>Complete</w:t>
            </w:r>
          </w:p>
        </w:tc>
      </w:tr>
      <w:tr>
        <w:trPr/>
        <w:tc>
          <w:tcPr>
            <w:tcW w:w="5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OWASP Top 10 ruleset scan</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 xml:space="preserve">✅ </w:t>
            </w:r>
            <w:r>
              <w:rPr>
                <w:rFonts w:eastAsia="Arial" w:cs="Arial"/>
                <w:sz w:val="19"/>
                <w:szCs w:val="19"/>
              </w:rPr>
              <w:t>Complete</w:t>
            </w:r>
          </w:p>
        </w:tc>
      </w:tr>
      <w:tr>
        <w:trPr/>
        <w:tc>
          <w:tcPr>
            <w:tcW w:w="5399"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Custom SQLi f-string rule written and tested</w:t>
            </w:r>
          </w:p>
        </w:tc>
        <w:tc>
          <w:tcPr>
            <w:tcW w:w="396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 xml:space="preserve">✅ </w:t>
            </w:r>
            <w:r>
              <w:rPr>
                <w:rFonts w:eastAsia="Arial" w:cs="Arial"/>
                <w:sz w:val="19"/>
                <w:szCs w:val="19"/>
              </w:rPr>
              <w:t>Complete</w:t>
            </w:r>
          </w:p>
        </w:tc>
      </w:tr>
      <w:tr>
        <w:trPr/>
        <w:tc>
          <w:tcPr>
            <w:tcW w:w="5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Custom BAC rule attempted — FN documented</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 xml:space="preserve">✅ </w:t>
            </w:r>
            <w:r>
              <w:rPr>
                <w:rFonts w:eastAsia="Arial" w:cs="Arial"/>
                <w:sz w:val="19"/>
                <w:szCs w:val="19"/>
              </w:rPr>
              <w:t>Complete</w:t>
            </w:r>
          </w:p>
        </w:tc>
      </w:tr>
      <w:tr>
        <w:trPr/>
        <w:tc>
          <w:tcPr>
            <w:tcW w:w="5399"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TP/FP triage log completed</w:t>
            </w:r>
          </w:p>
        </w:tc>
        <w:tc>
          <w:tcPr>
            <w:tcW w:w="396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 xml:space="preserve">✅ </w:t>
            </w:r>
            <w:r>
              <w:rPr>
                <w:rFonts w:eastAsia="Arial" w:cs="Arial"/>
                <w:sz w:val="19"/>
                <w:szCs w:val="19"/>
              </w:rPr>
              <w:t>Complete</w:t>
            </w:r>
          </w:p>
        </w:tc>
      </w:tr>
      <w:tr>
        <w:trPr/>
        <w:tc>
          <w:tcPr>
            <w:tcW w:w="5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Git repository initialized and committed</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 xml:space="preserve">✅ </w:t>
            </w:r>
            <w:r>
              <w:rPr>
                <w:rFonts w:eastAsia="Arial" w:cs="Arial"/>
                <w:sz w:val="19"/>
                <w:szCs w:val="19"/>
              </w:rPr>
              <w:t>Complete</w:t>
            </w:r>
          </w:p>
        </w:tc>
      </w:tr>
      <w:tr>
        <w:trPr/>
        <w:tc>
          <w:tcPr>
            <w:tcW w:w="5399"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GitHub Actions pipeline</w:t>
            </w:r>
          </w:p>
        </w:tc>
        <w:tc>
          <w:tcPr>
            <w:tcW w:w="396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 xml:space="preserve">⏳ </w:t>
            </w:r>
            <w:r>
              <w:rPr>
                <w:rFonts w:eastAsia="Arial" w:cs="Arial"/>
                <w:sz w:val="19"/>
                <w:szCs w:val="19"/>
              </w:rPr>
              <w:t>Deferred to Week 7 (needs remote repo)</w:t>
            </w:r>
          </w:p>
        </w:tc>
      </w:tr>
    </w:tbl>
    <w:p>
      <w:pPr>
        <w:pStyle w:val="Normal"/>
        <w:spacing w:before="0" w:after="100"/>
        <w:rPr/>
      </w:pPr>
      <w:r>
        <w:rPr/>
      </w:r>
    </w:p>
    <w:p>
      <w:pPr>
        <w:pStyle w:val="Heading1"/>
        <w:rPr/>
      </w:pPr>
      <w:r>
        <w:rPr>
          <w:rFonts w:eastAsia="Arial" w:cs="Arial" w:ascii="Arial" w:hAnsi="Arial"/>
          <w:b/>
          <w:bCs/>
          <w:color w:val="1F3864"/>
          <w:sz w:val="32"/>
          <w:szCs w:val="32"/>
        </w:rPr>
        <w:t>10. Week 4 Preview — CodeQL Taint Analysis</w:t>
      </w:r>
    </w:p>
    <w:p>
      <w:pPr>
        <w:pStyle w:val="Normal"/>
        <w:spacing w:before="0" w:after="120"/>
        <w:rPr/>
      </w:pPr>
      <w:r>
        <w:rPr>
          <w:rFonts w:eastAsia="Arial" w:cs="Arial"/>
          <w:color w:val="111111"/>
          <w:sz w:val="21"/>
          <w:szCs w:val="21"/>
        </w:rPr>
        <w:t>Week 4 moves from pattern matching to data flow analysis. CodeQL converts the entire codebase into a queryable database and tracks how attacker-controlled data flows through the program from source to sink.</w:t>
      </w:r>
    </w:p>
    <w:p>
      <w:pPr>
        <w:pStyle w:val="Normal"/>
        <w:spacing w:before="0" w:after="100"/>
        <w:rPr/>
      </w:pPr>
      <w:r>
        <w:rPr/>
      </w:r>
    </w:p>
    <w:tbl>
      <w:tblPr>
        <w:tblW w:w="9360" w:type="dxa"/>
        <w:jc w:val="left"/>
        <w:tblInd w:w="0" w:type="dxa"/>
        <w:tblLayout w:type="fixed"/>
        <w:tblCellMar>
          <w:top w:w="80" w:type="dxa"/>
          <w:left w:w="120" w:type="dxa"/>
          <w:bottom w:w="80" w:type="dxa"/>
          <w:right w:w="120" w:type="dxa"/>
        </w:tblCellMar>
      </w:tblPr>
      <w:tblGrid>
        <w:gridCol w:w="2399"/>
        <w:gridCol w:w="6960"/>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Concept</w:t>
            </w:r>
          </w:p>
        </w:tc>
        <w:tc>
          <w:tcPr>
            <w:tcW w:w="69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What It Means</w:t>
            </w:r>
          </w:p>
        </w:tc>
      </w:tr>
      <w:tr>
        <w:trPr/>
        <w:tc>
          <w:tcPr>
            <w:tcW w:w="2399"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Source</w:t>
            </w:r>
          </w:p>
        </w:tc>
        <w:tc>
          <w:tcPr>
            <w:tcW w:w="696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Where attacker-controlled data enters — request.query_params, request body, headers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Sink</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Where dangerous operations happen — db.execute(), requests.get(), os.system()</w:t>
            </w:r>
          </w:p>
        </w:tc>
      </w:tr>
      <w:tr>
        <w:trPr/>
        <w:tc>
          <w:tcPr>
            <w:tcW w:w="2399"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Taint</w:t>
            </w:r>
          </w:p>
        </w:tc>
        <w:tc>
          <w:tcPr>
            <w:tcW w:w="6960" w:type="dxa"/>
            <w:tcBorders>
              <w:top w:val="single" w:sz="2" w:space="0" w:color="CCCCCC"/>
              <w:left w:val="single" w:sz="2" w:space="0" w:color="CCCCCC"/>
              <w:bottom w:val="single" w:sz="2" w:space="0" w:color="CCCCCC"/>
              <w:right w:val="single" w:sz="2" w:space="0" w:color="CCCCCC"/>
            </w:tcBorders>
            <w:shd w:fill="F5F8FF" w:val="clear"/>
          </w:tcPr>
          <w:p>
            <w:pPr>
              <w:pStyle w:val="Normal"/>
              <w:rPr/>
            </w:pPr>
            <w:r>
              <w:rPr>
                <w:rFonts w:eastAsia="Arial" w:cs="Arial"/>
                <w:sz w:val="19"/>
                <w:szCs w:val="19"/>
              </w:rPr>
              <w:t>A label on data meaning 'attacker-controlled' — tracks through assignments and function calls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Taint path</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A chain from source to sink with no sanitization — this is the vulnerability</w:t>
            </w:r>
          </w:p>
        </w:tc>
      </w:tr>
    </w:tbl>
    <w:p>
      <w:pPr>
        <w:pStyle w:val="Normal"/>
        <w:spacing w:before="0" w:after="100"/>
        <w:rPr/>
      </w:pPr>
      <w:r>
        <w:rPr/>
      </w:r>
    </w:p>
    <w:p>
      <w:pPr>
        <w:pStyle w:val="Normal"/>
        <w:spacing w:before="0" w:after="120"/>
        <w:rPr/>
      </w:pPr>
      <w:r>
        <w:rPr>
          <w:rFonts w:eastAsia="Arial" w:cs="Arial"/>
          <w:color w:val="111111"/>
          <w:sz w:val="21"/>
          <w:szCs w:val="21"/>
        </w:rPr>
        <w:t>Where Semgrep asked 'does this pattern exist?', CodeQL asks 'can attacker data reach this dangerous function?' — a fundamentally more powerful question that can catch BOLA and other logic flaws that pattern matching misses.</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888888"/>
        <w:sz w:val="18"/>
        <w:szCs w:val="18"/>
      </w:rPr>
      <w:t xml:space="preserve">Week 3 Report — Aditya  |  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888888"/>
        <w:sz w:val="18"/>
        <w:szCs w:val="18"/>
      </w:rPr>
      <w:t xml:space="preserve">Week 3 Report — Aditya  |  Page </w:t>
    </w:r>
    <w:r>
      <w:rPr/>
      <w:fldChar w:fldCharType="begin"/>
    </w:r>
    <w:r>
      <w:rPr/>
      <w:instrText xml:space="preserve"> PAGE </w:instrText>
    </w:r>
    <w:r>
      <w:rPr/>
      <w:fldChar w:fldCharType="separate"/>
    </w:r>
    <w:r>
      <w:rPr/>
      <w:t>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n-US" w:eastAsia="zh-CN" w:bidi="hi-IN"/>
    </w:rPr>
  </w:style>
  <w:style w:type="paragraph" w:styleId="Heading1">
    <w:name w:val="Heading 1"/>
    <w:basedOn w:val="Heading"/>
    <w:qFormat/>
    <w:pPr>
      <w:pBdr>
        <w:bottom w:val="single" w:sz="4" w:space="4" w:color="2E75B6"/>
      </w:pBdr>
      <w:spacing w:before="360" w:after="16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paragraph" w:styleId="Heading3">
    <w:name w:val="Heading 3"/>
    <w:basedOn w:val="Heading"/>
    <w:qFormat/>
    <w:pPr>
      <w:spacing w:before="160" w:after="80"/>
      <w:outlineLvl w:val="2"/>
    </w:pPr>
    <w:rPr>
      <w:rFonts w:ascii="Arial" w:hAnsi="Arial" w:eastAsia="Arial" w:cs="Arial"/>
      <w:b/>
      <w:bCs/>
      <w:color w:val="333333"/>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6</Pages>
  <Words>1444</Words>
  <Characters>8063</Characters>
  <CharactersWithSpaces>9449</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2026-06-10T08:51:26Z</dcterms:created>
  <dc:creator>Un-named</dc:creator>
  <dc:description/>
  <dc:language>en-US</dc:language>
  <cp:lastModifiedBy/>
  <dcterms:modified xsi:type="dcterms:W3CDTF">2026-06-10T14:25:44Z</dcterms:modified>
  <cp:revision>2</cp:revision>
  <dc:subject/>
  <dc:title/>
</cp:coreProperties>
</file>