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r>
        <w:t xml:space="preserve"/>
      </w:r>
    </w:p>
    <w:p>
      <w:pPr>
        <w:spacing w:after="160"/>
        <w:jc w:val="center"/>
      </w:pPr>
      <w:r>
        <w:rPr>
          <w:rFonts w:ascii="Arial" w:cs="Arial" w:eastAsia="Arial" w:hAnsi="Arial"/>
          <w:b/>
          <w:bCs/>
          <w:color w:val="1F3864"/>
          <w:sz w:val="36"/>
          <w:szCs w:val="36"/>
        </w:rPr>
        <w:t xml:space="preserve">AMS 580 — Team Project</w:t>
      </w:r>
    </w:p>
    <w:p>
      <w:pPr>
        <w:spacing w:after="200"/>
        <w:jc w:val="center"/>
      </w:pPr>
      <w:r>
        <w:rPr>
          <w:rFonts w:ascii="Arial" w:cs="Arial" w:eastAsia="Arial" w:hAnsi="Arial"/>
          <w:b/>
          <w:bCs/>
          <w:color w:val="2E75B6"/>
          <w:sz w:val="56"/>
          <w:szCs w:val="56"/>
        </w:rPr>
        <w:t xml:space="preserve">Bank Marketing Classification</w:t>
      </w:r>
    </w:p>
    <w:p>
      <w:pPr>
        <w:spacing w:after="560"/>
        <w:jc w:val="center"/>
      </w:pPr>
      <w:r>
        <w:rPr>
          <w:rFonts w:ascii="Arial" w:cs="Arial" w:eastAsia="Arial" w:hAnsi="Arial"/>
          <w:i/>
          <w:iCs/>
          <w:color w:val="555555"/>
          <w:sz w:val="24"/>
          <w:szCs w:val="24"/>
        </w:rPr>
        <w:t xml:space="preserve">Predicting Term Deposit Subscription Using Machine Learning</w:t>
      </w:r>
    </w:p>
    <w:p>
      <w:pPr>
        <w:pBdr>
          <w:bottom w:val="single" w:color="2E75B6" w:sz="8" w:space="2"/>
        </w:pBdr>
        <w:spacing w:after="140" w:before="100"/>
      </w:pPr>
    </w:p>
    <w:p>
      <w:pPr>
        <w:spacing w:after="80" w:before="200"/>
        <w:jc w:val="center"/>
      </w:pPr>
      <w:r>
        <w:rPr>
          <w:rFonts w:ascii="Arial" w:cs="Arial" w:eastAsia="Arial" w:hAnsi="Arial"/>
          <w:sz w:val="22"/>
          <w:szCs w:val="22"/>
        </w:rPr>
        <w:t xml:space="preserve">Models: Logistic Regression  ·  Decision Tree  ·  Random Forest  ·  XGBoost</w:t>
      </w:r>
    </w:p>
    <w:p>
      <w:pPr>
        <w:spacing w:after="80"/>
        <w:jc w:val="center"/>
      </w:pPr>
      <w:r>
        <w:rPr>
          <w:rFonts w:ascii="Arial" w:cs="Arial" w:eastAsia="Arial" w:hAnsi="Arial"/>
          <w:sz w:val="22"/>
          <w:szCs w:val="22"/>
        </w:rPr>
        <w:t xml:space="preserve">Best Model AUC: 0.7787  ·  Sensitivity: 60.88%  ·  Threshold: 0.195</w:t>
      </w:r>
    </w:p>
    <w:p>
      <w:pPr>
        <w:spacing w:after="80"/>
        <w:jc w:val="center"/>
      </w:pPr>
      <w:r>
        <w:rPr>
          <w:rFonts w:ascii="Arial" w:cs="Arial" w:eastAsia="Arial" w:hAnsi="Arial"/>
          <w:color w:val="888888"/>
          <w:sz w:val="22"/>
          <w:szCs w:val="22"/>
        </w:rPr>
        <w:t xml:space="preserve">April 2026</w:t>
      </w:r>
    </w:p>
    <w:p>
      <w:pPr>
        <w:spacing w:after="0"/>
      </w:pPr>
      <w:r>
        <w:br w:type="page"/>
      </w:r>
    </w:p>
    <w:p>
      <w:pPr>
        <w:pStyle w:val="Heading1"/>
        <w:spacing w:after="180" w:before="400"/>
      </w:pPr>
      <w:r>
        <w:rPr>
          <w:rFonts w:ascii="Arial" w:cs="Arial" w:eastAsia="Arial" w:hAnsi="Arial"/>
          <w:b/>
          <w:bCs/>
          <w:color w:val="1F3864"/>
          <w:sz w:val="32"/>
          <w:szCs w:val="32"/>
        </w:rPr>
        <w:t xml:space="preserve">1. Introduction</w:t>
      </w:r>
    </w:p>
    <w:p>
      <w:pPr>
        <w:pBdr>
          <w:bottom w:val="single" w:color="2E75B6" w:sz="8" w:space="2"/>
        </w:pBdr>
        <w:spacing w:after="140" w:before="100"/>
      </w:pPr>
    </w:p>
    <w:p>
      <w:pPr>
        <w:spacing w:after="120"/>
        <w:jc w:val="left"/>
      </w:pPr>
      <w:r>
        <w:rPr>
          <w:rFonts w:ascii="Arial" w:cs="Arial" w:eastAsia="Arial" w:hAnsi="Arial"/>
          <w:sz w:val="22"/>
          <w:szCs w:val="22"/>
        </w:rPr>
        <w:t xml:space="preserve">The objective of this project is to build a machine learning model that predicts whether a bank client will subscribe to a term deposit following a telephone marketing campaign. This is a binary classification problem: the target variable y equals yes (subscriber) or no (non-subscriber).</w:t>
      </w:r>
    </w:p>
    <w:p>
      <w:pPr>
        <w:spacing w:after="80"/>
      </w:pPr>
      <w:r>
        <w:t xml:space="preserve"/>
      </w:r>
    </w:p>
    <w:p>
      <w:pPr>
        <w:spacing w:after="120"/>
        <w:jc w:val="left"/>
      </w:pPr>
      <w:r>
        <w:rPr>
          <w:rFonts w:ascii="Arial" w:cs="Arial" w:eastAsia="Arial" w:hAnsi="Arial"/>
          <w:sz w:val="22"/>
          <w:szCs w:val="22"/>
        </w:rPr>
        <w:t xml:space="preserve">Banks spend significant resources on marketing campaigns. Calling every customer is both expensive and inefficient. Our model ranks customers by their predicted subscription probability, allowing the bank to target the most promising leads — reducing cost while increasing conversion.</w:t>
      </w:r>
    </w:p>
    <w:p>
      <w:pPr>
        <w:spacing w:after="80"/>
      </w:pPr>
      <w:r>
        <w:t xml:space="preserve"/>
      </w:r>
    </w:p>
    <w:p>
      <w:pPr>
        <w:spacing w:after="0"/>
        <w:jc w:val="left"/>
      </w:pPr>
      <w:r>
        <w:rPr>
          <w:rFonts w:ascii="Arial" w:cs="Arial" w:eastAsia="Arial" w:hAnsi="Arial"/>
          <w:b/>
          <w:bCs/>
          <w:sz w:val="22"/>
          <w:szCs w:val="22"/>
        </w:rPr>
        <w:t xml:space="preserve">Key challenge:</w:t>
      </w:r>
    </w:p>
    <w:p>
      <w:pPr>
        <w:pStyle w:val="ListParagraph"/>
        <w:numPr>
          <w:ilvl w:val="0"/>
          <w:numId w:val="2"/>
        </w:numPr>
        <w:spacing w:after="80"/>
      </w:pPr>
      <w:r>
        <w:rPr>
          <w:rFonts w:ascii="Arial" w:cs="Arial" w:eastAsia="Arial" w:hAnsi="Arial"/>
          <w:sz w:val="22"/>
          <w:szCs w:val="22"/>
        </w:rPr>
        <w:t xml:space="preserve">Severe class imbalance: only 11.3% of customers subscribe (7.9:1 ratio)</w:t>
      </w:r>
    </w:p>
    <w:p>
      <w:pPr>
        <w:pStyle w:val="ListParagraph"/>
        <w:numPr>
          <w:ilvl w:val="0"/>
          <w:numId w:val="2"/>
        </w:numPr>
        <w:spacing w:after="80"/>
      </w:pPr>
      <w:r>
        <w:rPr>
          <w:rFonts w:ascii="Arial" w:cs="Arial" w:eastAsia="Arial" w:hAnsi="Arial"/>
          <w:sz w:val="22"/>
          <w:szCs w:val="22"/>
        </w:rPr>
        <w:t xml:space="preserve">Missed subscriber (False Negative) = lost revenue — recall must be maximised</w:t>
      </w:r>
    </w:p>
    <w:p>
      <w:pPr>
        <w:pStyle w:val="ListParagraph"/>
        <w:numPr>
          <w:ilvl w:val="0"/>
          <w:numId w:val="2"/>
        </w:numPr>
        <w:spacing w:after="80"/>
      </w:pPr>
      <w:r>
        <w:rPr>
          <w:rFonts w:ascii="Arial" w:cs="Arial" w:eastAsia="Arial" w:hAnsi="Arial"/>
          <w:sz w:val="22"/>
          <w:szCs w:val="22"/>
        </w:rPr>
        <w:t xml:space="preserve">Wasted call (False Positive) = unnecessary cost — precision must be managed</w:t>
      </w:r>
    </w:p>
    <w:p>
      <w:pPr>
        <w:spacing w:after="0"/>
      </w:pPr>
      <w:r>
        <w:br w:type="page"/>
      </w:r>
    </w:p>
    <w:p>
      <w:pPr>
        <w:pStyle w:val="Heading1"/>
        <w:spacing w:after="180" w:before="400"/>
      </w:pPr>
      <w:r>
        <w:rPr>
          <w:rFonts w:ascii="Arial" w:cs="Arial" w:eastAsia="Arial" w:hAnsi="Arial"/>
          <w:b/>
          <w:bCs/>
          <w:color w:val="1F3864"/>
          <w:sz w:val="32"/>
          <w:szCs w:val="32"/>
        </w:rPr>
        <w:t xml:space="preserve">2. Dataset</w:t>
      </w:r>
    </w:p>
    <w:p>
      <w:pPr>
        <w:pBdr>
          <w:bottom w:val="single" w:color="2E75B6" w:sz="8" w:space="2"/>
        </w:pBdr>
        <w:spacing w:after="140" w:before="100"/>
      </w:pPr>
    </w:p>
    <w:p>
      <w:pPr>
        <w:spacing w:after="120"/>
        <w:jc w:val="left"/>
      </w:pPr>
      <w:r>
        <w:rPr>
          <w:rFonts w:ascii="Arial" w:cs="Arial" w:eastAsia="Arial" w:hAnsi="Arial"/>
          <w:sz w:val="22"/>
          <w:szCs w:val="22"/>
        </w:rPr>
        <w:t xml:space="preserve">The dataset is the UCI Bank Marketing dataset, split into training and test sets.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Split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Rows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Distribution</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Training</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32,951</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 29,239 (88.7%)  Yes: 3,712 (11.3%)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8,237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Same proportional split</w:t>
            </w:r>
          </w:p>
        </w:tc>
      </w:tr>
    </w:tbl>
    <w:p>
      <w:pPr>
        <w:spacing w:after="160"/>
      </w:pPr>
      <w:r>
        <w:t xml:space="preserve"/>
      </w:r>
    </w:p>
    <w:p>
      <w:pPr>
        <w:spacing w:after="120"/>
        <w:jc w:val="left"/>
      </w:pPr>
      <w:r>
        <w:rPr>
          <w:rFonts w:ascii="Arial" w:cs="Arial" w:eastAsia="Arial" w:hAnsi="Arial"/>
          <w:b/>
          <w:bCs/>
          <w:sz w:val="22"/>
          <w:szCs w:val="22"/>
        </w:rPr>
        <w:t xml:space="preserve">Features (20 after removing duration):</w:t>
      </w:r>
    </w:p>
    <w:p>
      <w:pPr>
        <w:pStyle w:val="ListParagraph"/>
        <w:numPr>
          <w:ilvl w:val="0"/>
          <w:numId w:val="2"/>
        </w:numPr>
        <w:spacing w:after="80"/>
      </w:pPr>
      <w:r>
        <w:rPr>
          <w:rFonts w:ascii="Arial" w:cs="Arial" w:eastAsia="Arial" w:hAnsi="Arial"/>
          <w:sz w:val="22"/>
          <w:szCs w:val="22"/>
        </w:rPr>
        <w:t xml:space="preserve">Client demographics: age, job, marital, education, default, housing, loan</w:t>
      </w:r>
    </w:p>
    <w:p>
      <w:pPr>
        <w:pStyle w:val="ListParagraph"/>
        <w:numPr>
          <w:ilvl w:val="0"/>
          <w:numId w:val="2"/>
        </w:numPr>
        <w:spacing w:after="80"/>
      </w:pPr>
      <w:r>
        <w:rPr>
          <w:rFonts w:ascii="Arial" w:cs="Arial" w:eastAsia="Arial" w:hAnsi="Arial"/>
          <w:sz w:val="22"/>
          <w:szCs w:val="22"/>
        </w:rPr>
        <w:t xml:space="preserve">Campaign info: contact type, month, day_of_week, campaign (number of contacts)</w:t>
      </w:r>
    </w:p>
    <w:p>
      <w:pPr>
        <w:pStyle w:val="ListParagraph"/>
        <w:numPr>
          <w:ilvl w:val="0"/>
          <w:numId w:val="2"/>
        </w:numPr>
        <w:spacing w:after="80"/>
      </w:pPr>
      <w:r>
        <w:rPr>
          <w:rFonts w:ascii="Arial" w:cs="Arial" w:eastAsia="Arial" w:hAnsi="Arial"/>
          <w:sz w:val="22"/>
          <w:szCs w:val="22"/>
        </w:rPr>
        <w:t xml:space="preserve">Previous campaign: pdays, previous, poutcome</w:t>
      </w:r>
    </w:p>
    <w:p>
      <w:pPr>
        <w:pStyle w:val="ListParagraph"/>
        <w:numPr>
          <w:ilvl w:val="0"/>
          <w:numId w:val="2"/>
        </w:numPr>
        <w:spacing w:after="80"/>
      </w:pPr>
      <w:r>
        <w:rPr>
          <w:rFonts w:ascii="Arial" w:cs="Arial" w:eastAsia="Arial" w:hAnsi="Arial"/>
          <w:sz w:val="22"/>
          <w:szCs w:val="22"/>
        </w:rPr>
        <w:t xml:space="preserve">Economic indicators: emp.var.rate, cons.price.idx, cons.conf.idx, euribor3m, nr.employed</w:t>
      </w:r>
    </w:p>
    <w:p>
      <w:pPr>
        <w:spacing w:after="80"/>
      </w:pPr>
      <w:r>
        <w:t xml:space="preserve"/>
      </w:r>
    </w:p>
    <w:p>
      <w:pPr>
        <w:spacing w:after="120"/>
        <w:jc w:val="left"/>
      </w:pPr>
      <w:r>
        <w:rPr>
          <w:rFonts w:ascii="Arial" w:cs="Arial" w:eastAsia="Arial" w:hAnsi="Arial"/>
          <w:i/>
          <w:iCs/>
          <w:color w:val="CC0000"/>
          <w:sz w:val="22"/>
          <w:szCs w:val="22"/>
        </w:rPr>
        <w:t xml:space="preserve">Note: The feature duration (call duration in seconds) was REMOVED — it is only known after the call ends, making it a data leakage source unavailable at prediction time.</w:t>
      </w:r>
    </w:p>
    <w:p>
      <w:pPr>
        <w:spacing w:after="80" w:before="120"/>
        <w:jc w:val="center"/>
      </w:pPr>
      <w:r>
        <w:drawing>
          <wp:inline distT="0" distB="0" distL="0" distR="0">
            <wp:extent cx="19850100" cy="704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850100" cy="704850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1: Class imbalance (left) and subscription rate by job category (right)</w:t>
      </w:r>
    </w:p>
    <w:p>
      <w:pPr>
        <w:spacing w:after="0"/>
      </w:pPr>
      <w:r>
        <w:br w:type="page"/>
      </w:r>
    </w:p>
    <w:p>
      <w:pPr>
        <w:pStyle w:val="Heading1"/>
        <w:spacing w:after="180" w:before="400"/>
      </w:pPr>
      <w:r>
        <w:rPr>
          <w:rFonts w:ascii="Arial" w:cs="Arial" w:eastAsia="Arial" w:hAnsi="Arial"/>
          <w:b/>
          <w:bCs/>
          <w:color w:val="1F3864"/>
          <w:sz w:val="32"/>
          <w:szCs w:val="32"/>
        </w:rPr>
        <w:t xml:space="preserve">3. Preprocessing</w:t>
      </w:r>
    </w:p>
    <w:p>
      <w:pPr>
        <w:pBdr>
          <w:bottom w:val="single" w:color="2E75B6" w:sz="8" w:space="2"/>
        </w:pBdr>
        <w:spacing w:after="140" w:before="100"/>
      </w:pPr>
    </w:p>
    <w:p>
      <w:pPr>
        <w:spacing w:after="120"/>
        <w:jc w:val="left"/>
      </w:pPr>
      <w:r>
        <w:rPr>
          <w:rFonts w:ascii="Arial" w:cs="Arial" w:eastAsia="Arial" w:hAnsi="Arial"/>
          <w:sz w:val="22"/>
          <w:szCs w:val="22"/>
        </w:rPr>
        <w:t xml:space="preserve">The preprocessing pipeline applied the following steps in order:</w:t>
      </w:r>
    </w:p>
    <w:p>
      <w:pPr>
        <w:spacing w:after="80"/>
      </w:pPr>
      <w:r>
        <w:t xml:space="preserve"/>
      </w:r>
    </w:p>
    <w:p>
      <w:pPr>
        <w:pStyle w:val="Heading2"/>
        <w:spacing w:after="120" w:before="240"/>
      </w:pPr>
      <w:r>
        <w:rPr>
          <w:rFonts w:ascii="Arial" w:cs="Arial" w:eastAsia="Arial" w:hAnsi="Arial"/>
          <w:b/>
          <w:bCs/>
          <w:color w:val="2E75B6"/>
          <w:sz w:val="26"/>
          <w:szCs w:val="26"/>
        </w:rPr>
        <w:t xml:space="preserve">Step 1 — Remove Data Leakage</w:t>
      </w:r>
    </w:p>
    <w:p>
      <w:pPr>
        <w:spacing w:after="120"/>
        <w:jc w:val="left"/>
      </w:pPr>
      <w:r>
        <w:rPr>
          <w:rFonts w:ascii="Arial" w:cs="Arial" w:eastAsia="Arial" w:hAnsi="Arial"/>
          <w:sz w:val="22"/>
          <w:szCs w:val="22"/>
        </w:rPr>
        <w:t xml:space="preserve">Dropped the duration column from both train and test. This mirrors the approach in the R baseline project and is critical for a valid model.</w:t>
      </w:r>
    </w:p>
    <w:p>
      <w:pPr>
        <w:pStyle w:val="Heading2"/>
        <w:spacing w:after="120" w:before="240"/>
      </w:pPr>
      <w:r>
        <w:rPr>
          <w:rFonts w:ascii="Arial" w:cs="Arial" w:eastAsia="Arial" w:hAnsi="Arial"/>
          <w:b/>
          <w:bCs/>
          <w:color w:val="2E75B6"/>
          <w:sz w:val="26"/>
          <w:szCs w:val="26"/>
        </w:rPr>
        <w:t xml:space="preserve">Step 2 — Encode Target</w:t>
      </w:r>
    </w:p>
    <w:p>
      <w:pPr>
        <w:spacing w:after="120"/>
        <w:jc w:val="left"/>
      </w:pPr>
      <w:r>
        <w:rPr>
          <w:rFonts w:ascii="Arial" w:cs="Arial" w:eastAsia="Arial" w:hAnsi="Arial"/>
          <w:sz w:val="22"/>
          <w:szCs w:val="22"/>
        </w:rPr>
        <w:t xml:space="preserve">Converted y to binary: yes → 1 (subscriber), no → 0 (non-subscriber).</w:t>
      </w:r>
    </w:p>
    <w:p>
      <w:pPr>
        <w:pStyle w:val="Heading2"/>
        <w:spacing w:after="120" w:before="240"/>
      </w:pPr>
      <w:r>
        <w:rPr>
          <w:rFonts w:ascii="Arial" w:cs="Arial" w:eastAsia="Arial" w:hAnsi="Arial"/>
          <w:b/>
          <w:bCs/>
          <w:color w:val="2E75B6"/>
          <w:sz w:val="26"/>
          <w:szCs w:val="26"/>
        </w:rPr>
        <w:t xml:space="preserve">Step 3 — One-Hot Encoding</w:t>
      </w:r>
    </w:p>
    <w:p>
      <w:pPr>
        <w:spacing w:after="120"/>
        <w:jc w:val="left"/>
      </w:pPr>
      <w:r>
        <w:rPr>
          <w:rFonts w:ascii="Arial" w:cs="Arial" w:eastAsia="Arial" w:hAnsi="Arial"/>
          <w:sz w:val="22"/>
          <w:szCs w:val="22"/>
        </w:rPr>
        <w:t xml:space="preserve">Applied pd.get_dummies() to 10 categorical features. Train and test columns were aligned post-encoding to ensure consistency. Final feature count: 62 columns.</w:t>
      </w:r>
    </w:p>
    <w:p>
      <w:pPr>
        <w:pStyle w:val="Heading2"/>
        <w:spacing w:after="120" w:before="240"/>
      </w:pPr>
      <w:r>
        <w:rPr>
          <w:rFonts w:ascii="Arial" w:cs="Arial" w:eastAsia="Arial" w:hAnsi="Arial"/>
          <w:b/>
          <w:bCs/>
          <w:color w:val="2E75B6"/>
          <w:sz w:val="26"/>
          <w:szCs w:val="26"/>
        </w:rPr>
        <w:t xml:space="preserve">Step 4 — Feature Scaling</w:t>
      </w:r>
    </w:p>
    <w:p>
      <w:pPr>
        <w:spacing w:after="120"/>
        <w:jc w:val="left"/>
      </w:pPr>
      <w:r>
        <w:rPr>
          <w:rFonts w:ascii="Arial" w:cs="Arial" w:eastAsia="Arial" w:hAnsi="Arial"/>
          <w:sz w:val="22"/>
          <w:szCs w:val="22"/>
        </w:rPr>
        <w:t xml:space="preserve">Applied StandardScaler (zero mean, unit variance), fitted exclusively on training data to prevent test set leakage.</w:t>
      </w:r>
    </w:p>
    <w:p>
      <w:pPr>
        <w:pStyle w:val="Heading2"/>
        <w:spacing w:after="120" w:before="240"/>
      </w:pPr>
      <w:r>
        <w:rPr>
          <w:rFonts w:ascii="Arial" w:cs="Arial" w:eastAsia="Arial" w:hAnsi="Arial"/>
          <w:b/>
          <w:bCs/>
          <w:color w:val="2E75B6"/>
          <w:sz w:val="26"/>
          <w:szCs w:val="26"/>
        </w:rPr>
        <w:t xml:space="preserve">Step 5 — SMOTE (Class Balancing)</w:t>
      </w:r>
    </w:p>
    <w:p>
      <w:pPr>
        <w:spacing w:after="120"/>
        <w:jc w:val="left"/>
      </w:pPr>
      <w:r>
        <w:rPr>
          <w:rFonts w:ascii="Arial" w:cs="Arial" w:eastAsia="Arial" w:hAnsi="Arial"/>
          <w:sz w:val="22"/>
          <w:szCs w:val="22"/>
        </w:rPr>
        <w:t xml:space="preserve">Synthetic Minority Over-sampling Technique was applied to the training set only. SMOTE creates synthetic minority-class samples by interpolating between real examples, producing a balanced 50/50 training set of 58,478 samples total. The test set was kept imbalanced to reflect real-world evaluation.</w:t>
      </w:r>
    </w:p>
    <w:p>
      <w:pPr>
        <w:spacing w:after="0"/>
      </w:pPr>
      <w:r>
        <w:br w:type="page"/>
      </w:r>
    </w:p>
    <w:p>
      <w:pPr>
        <w:pStyle w:val="Heading1"/>
        <w:spacing w:after="180" w:before="400"/>
      </w:pPr>
      <w:r>
        <w:rPr>
          <w:rFonts w:ascii="Arial" w:cs="Arial" w:eastAsia="Arial" w:hAnsi="Arial"/>
          <w:b/>
          <w:bCs/>
          <w:color w:val="1F3864"/>
          <w:sz w:val="32"/>
          <w:szCs w:val="32"/>
        </w:rPr>
        <w:t xml:space="preserve">4. Models</w:t>
      </w:r>
    </w:p>
    <w:p>
      <w:pPr>
        <w:pBdr>
          <w:bottom w:val="single" w:color="2E75B6" w:sz="8" w:space="2"/>
        </w:pBdr>
        <w:spacing w:after="140" w:before="100"/>
      </w:pPr>
    </w:p>
    <w:p>
      <w:pPr>
        <w:spacing w:after="120"/>
        <w:jc w:val="left"/>
      </w:pPr>
      <w:r>
        <w:rPr>
          <w:rFonts w:ascii="Arial" w:cs="Arial" w:eastAsia="Arial" w:hAnsi="Arial"/>
          <w:sz w:val="22"/>
          <w:szCs w:val="22"/>
        </w:rPr>
        <w:t xml:space="preserve">Four classification models were trained using 10-fold stratified cross-validation. ROC-AUC was the primary cross-validation metric (threshold-independent, appropriate for imbalanced data).</w:t>
      </w:r>
    </w:p>
    <w:p>
      <w:pPr>
        <w:spacing w:after="80"/>
      </w:pPr>
      <w:r>
        <w:t xml:space="preserve"/>
      </w:r>
    </w:p>
    <w:p>
      <w:pPr>
        <w:pStyle w:val="ListParagraph"/>
        <w:numPr>
          <w:ilvl w:val="0"/>
          <w:numId w:val="2"/>
        </w:numPr>
        <w:spacing w:after="80"/>
      </w:pPr>
      <w:r>
        <w:rPr>
          <w:rFonts w:ascii="Arial" w:cs="Arial" w:eastAsia="Arial" w:hAnsi="Arial"/>
          <w:sz w:val="22"/>
          <w:szCs w:val="22"/>
        </w:rPr>
        <w:t xml:space="preserve">Logistic Regression: Linear baseline. max_iter=1000</w:t>
      </w:r>
    </w:p>
    <w:p>
      <w:pPr>
        <w:pStyle w:val="ListParagraph"/>
        <w:numPr>
          <w:ilvl w:val="0"/>
          <w:numId w:val="2"/>
        </w:numPr>
        <w:spacing w:after="80"/>
      </w:pPr>
      <w:r>
        <w:rPr>
          <w:rFonts w:ascii="Arial" w:cs="Arial" w:eastAsia="Arial" w:hAnsi="Arial"/>
          <w:sz w:val="22"/>
          <w:szCs w:val="22"/>
        </w:rPr>
        <w:t xml:space="preserve">Decision Tree: Non-linear rules. max_depth=10</w:t>
      </w:r>
    </w:p>
    <w:p>
      <w:pPr>
        <w:pStyle w:val="ListParagraph"/>
        <w:numPr>
          <w:ilvl w:val="0"/>
          <w:numId w:val="2"/>
        </w:numPr>
        <w:spacing w:after="80"/>
      </w:pPr>
      <w:r>
        <w:rPr>
          <w:rFonts w:ascii="Arial" w:cs="Arial" w:eastAsia="Arial" w:hAnsi="Arial"/>
          <w:sz w:val="22"/>
          <w:szCs w:val="22"/>
        </w:rPr>
        <w:t xml:space="preserve">Random Forest: Ensemble of 100 trees. n_estimators=100, max_depth=15</w:t>
      </w:r>
    </w:p>
    <w:p>
      <w:pPr>
        <w:pStyle w:val="ListParagraph"/>
        <w:numPr>
          <w:ilvl w:val="0"/>
          <w:numId w:val="2"/>
        </w:numPr>
        <w:spacing w:after="80"/>
      </w:pPr>
      <w:r>
        <w:rPr>
          <w:rFonts w:ascii="Arial" w:cs="Arial" w:eastAsia="Arial" w:hAnsi="Arial"/>
          <w:sz w:val="22"/>
          <w:szCs w:val="22"/>
        </w:rPr>
        <w:t xml:space="preserve">XGBoost ★ Best: Gradient boosting. n_estimators=200, learning_rate=0.05, max_depth=5</w:t>
      </w:r>
    </w:p>
    <w:p>
      <w:pPr>
        <w:spacing w:after="160"/>
      </w:pPr>
      <w:r>
        <w:t xml:space="preserve"/>
      </w:r>
    </w:p>
    <w:p>
      <w:pPr>
        <w:pStyle w:val="Heading2"/>
        <w:spacing w:after="120" w:before="240"/>
      </w:pPr>
      <w:r>
        <w:rPr>
          <w:rFonts w:ascii="Arial" w:cs="Arial" w:eastAsia="Arial" w:hAnsi="Arial"/>
          <w:b/>
          <w:bCs/>
          <w:color w:val="2E75B6"/>
          <w:sz w:val="26"/>
          <w:szCs w:val="26"/>
        </w:rPr>
        <w:t xml:space="preserve">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80"/>
        <w:gridCol w:w="16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Sensitivity</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Specificity</w:t>
            </w:r>
          </w:p>
        </w:tc>
        <w:tc>
          <w:tcPr>
            <w:tcW w:type="dxa" w:w="1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Logistic Regression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79.45%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63.25%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81.56%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0.7746</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Decision Tree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82.12%</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60.11%</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84.37%</w:t>
            </w:r>
          </w:p>
        </w:tc>
        <w:tc>
          <w:tcPr>
            <w:tcW w:type="dxa" w:w="16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0.7327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Random Forest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85.01%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56.82%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88.74%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0.7758</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XGBoost ★</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82.75%</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60.88%</w:t>
            </w:r>
          </w:p>
        </w:tc>
        <w:tc>
          <w:tcPr>
            <w:tcW w:type="dxa" w:w="1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85.52%</w:t>
            </w:r>
          </w:p>
        </w:tc>
        <w:tc>
          <w:tcPr>
            <w:tcW w:type="dxa" w:w="16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0.7787</w:t>
            </w:r>
          </w:p>
        </w:tc>
      </w:tr>
    </w:tbl>
    <w:p>
      <w:pPr>
        <w:spacing w:after="80"/>
      </w:pPr>
      <w:r>
        <w:t xml:space="preserve"/>
      </w:r>
    </w:p>
    <w:p>
      <w:pPr>
        <w:spacing w:after="120"/>
        <w:jc w:val="left"/>
      </w:pPr>
      <w:r>
        <w:rPr>
          <w:rFonts w:ascii="Arial" w:cs="Arial" w:eastAsia="Arial" w:hAnsi="Arial"/>
          <w:sz w:val="22"/>
          <w:szCs w:val="22"/>
        </w:rPr>
        <w:t xml:space="preserve">XGBoost achieves the highest AUC (0.7787) and best Sensitivity (60.88%) — the two most business-critical metrics. It is selected as the final model.</w:t>
      </w:r>
    </w:p>
    <w:p>
      <w:pPr>
        <w:spacing w:after="80" w:before="120"/>
        <w:jc w:val="center"/>
      </w:pPr>
      <w:r>
        <w:drawing>
          <wp:inline distT="0" distB="0" distL="0" distR="0">
            <wp:extent cx="22526625" cy="845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526625" cy="845820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2: AUC, Sensitivity, and Accuracy comparison across all four models</w:t>
      </w:r>
    </w:p>
    <w:p>
      <w:pPr>
        <w:spacing w:after="0"/>
      </w:pPr>
      <w:r>
        <w:br w:type="page"/>
      </w:r>
    </w:p>
    <w:p>
      <w:pPr>
        <w:pStyle w:val="Heading1"/>
        <w:spacing w:after="180" w:before="400"/>
      </w:pPr>
      <w:r>
        <w:rPr>
          <w:rFonts w:ascii="Arial" w:cs="Arial" w:eastAsia="Arial" w:hAnsi="Arial"/>
          <w:b/>
          <w:bCs/>
          <w:color w:val="1F3864"/>
          <w:sz w:val="32"/>
          <w:szCs w:val="32"/>
        </w:rPr>
        <w:t xml:space="preserve">5. Results</w:t>
      </w:r>
    </w:p>
    <w:p>
      <w:pPr>
        <w:pBdr>
          <w:bottom w:val="single" w:color="2E75B6" w:sz="8" w:space="2"/>
        </w:pBdr>
        <w:spacing w:after="140" w:before="100"/>
      </w:pPr>
    </w:p>
    <w:p>
      <w:pPr>
        <w:pStyle w:val="Heading2"/>
        <w:spacing w:after="120" w:before="240"/>
      </w:pPr>
      <w:r>
        <w:rPr>
          <w:rFonts w:ascii="Arial" w:cs="Arial" w:eastAsia="Arial" w:hAnsi="Arial"/>
          <w:b/>
          <w:bCs/>
          <w:color w:val="2E75B6"/>
          <w:sz w:val="26"/>
          <w:szCs w:val="26"/>
        </w:rPr>
        <w:t xml:space="preserve">5.1 Full Metrics — XGBoost vs R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Random Forest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Python: XGBoost</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85.44%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82.75%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Threshold trade-off</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Precision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39.87%</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34.81%</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Threshold trade-off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Recall (Sensitivity)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57.43%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60.88%</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+3.45pp ✓</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Specificity</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89.00%</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85.52%</w:t>
            </w:r>
          </w:p>
        </w:tc>
        <w:tc>
          <w:tcPr>
            <w:tcW w:type="dxa" w:w="2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Threshold trade-off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AUC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0.7629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0.7787</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+1.58pp ✓</w:t>
            </w:r>
          </w:p>
        </w:tc>
      </w:tr>
    </w:tbl>
    <w:p>
      <w:pPr>
        <w:spacing w:after="80"/>
      </w:pPr>
      <w:r>
        <w:t xml:space="preserve"/>
      </w:r>
    </w:p>
    <w:p>
      <w:pPr>
        <w:spacing w:after="120"/>
        <w:jc w:val="left"/>
      </w:pPr>
      <w:r>
        <w:rPr>
          <w:rFonts w:ascii="Arial" w:cs="Arial" w:eastAsia="Arial" w:hAnsi="Arial"/>
          <w:sz w:val="22"/>
          <w:szCs w:val="22"/>
        </w:rPr>
        <w:t xml:space="preserve">XGBoost improves on the two most important metrics: AUC (+1.58pp) and Sensitivity/Recall (+3.45pp). The reduction in Accuracy and Specificity is intentional — driven by threshold optimization to capture more subscribers.</w:t>
      </w:r>
    </w:p>
    <w:p>
      <w:pPr>
        <w:spacing w:after="160"/>
      </w:pPr>
      <w:r>
        <w:t xml:space="preserve"/>
      </w:r>
    </w:p>
    <w:p>
      <w:pPr>
        <w:pStyle w:val="Heading2"/>
        <w:spacing w:after="120" w:before="240"/>
      </w:pPr>
      <w:r>
        <w:rPr>
          <w:rFonts w:ascii="Arial" w:cs="Arial" w:eastAsia="Arial" w:hAnsi="Arial"/>
          <w:b/>
          <w:bCs/>
          <w:color w:val="2E75B6"/>
          <w:sz w:val="26"/>
          <w:szCs w:val="26"/>
        </w:rPr>
        <w:t xml:space="preserve">5.2 ROC Curves</w:t>
      </w:r>
    </w:p>
    <w:p>
      <w:pPr>
        <w:spacing w:after="80" w:before="120"/>
        <w:jc w:val="center"/>
      </w:pPr>
      <w:r>
        <w:drawing>
          <wp:inline distT="0" distB="0" distL="0" distR="0">
            <wp:extent cx="12687300" cy="981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687300" cy="981075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3: ROC curves for all four models. XGBoost (orange) achieves the highest AUC of 0.7787.</w:t>
      </w:r>
    </w:p>
    <w:p>
      <w:pPr>
        <w:spacing w:after="120"/>
        <w:jc w:val="left"/>
      </w:pPr>
      <w:r>
        <w:rPr>
          <w:rFonts w:ascii="Arial" w:cs="Arial" w:eastAsia="Arial" w:hAnsi="Arial"/>
          <w:sz w:val="22"/>
          <w:szCs w:val="22"/>
        </w:rPr>
        <w:t xml:space="preserve">XGBoost dominates across the entire ROC space, confirming its superiority is not threshold-dependent. Logistic Regression is the closest competitor on AUC, but underperforms on sensitivity at the chosen operating point.</w:t>
      </w:r>
    </w:p>
    <w:p>
      <w:pPr>
        <w:spacing w:after="160"/>
      </w:pPr>
      <w:r>
        <w:t xml:space="preserve"/>
      </w:r>
    </w:p>
    <w:p>
      <w:pPr>
        <w:pStyle w:val="Heading2"/>
        <w:spacing w:after="120" w:before="240"/>
      </w:pPr>
      <w:r>
        <w:rPr>
          <w:rFonts w:ascii="Arial" w:cs="Arial" w:eastAsia="Arial" w:hAnsi="Arial"/>
          <w:b/>
          <w:bCs/>
          <w:color w:val="2E75B6"/>
          <w:sz w:val="26"/>
          <w:szCs w:val="26"/>
        </w:rPr>
        <w:t xml:space="preserve">5.3 Confusion Matrix — XGBoost (threshold = 0.195)</w:t>
      </w:r>
    </w:p>
    <w:p>
      <w:pPr>
        <w:spacing w:after="80" w:before="120"/>
        <w:jc w:val="center"/>
      </w:pPr>
      <w:r>
        <w:drawing>
          <wp:inline distT="0" distB="0" distL="0" distR="0">
            <wp:extent cx="6934200" cy="696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934200" cy="6962775"/>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4: Confusion matrix at optimal threshold 0.195.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Our Context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TP (True Positive)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Predicted YES, Actually YES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Subscriber correctly identified</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Revenue captured</w:t>
            </w:r>
          </w:p>
        </w:tc>
      </w:tr>
      <w:tr>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FP (False Positive)</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Predicted YES, Actually NO</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Non-subscriber called</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Wasted call cost</w:t>
            </w:r>
          </w:p>
        </w:tc>
      </w:tr>
      <w:tr>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FN (False Negative)</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Predicted NO, Actually YES</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Subscriber missed</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Lost revenue ⚠</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TN (True Negative)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Predicted NO, Actually NO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Non-subscriber skipped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Cost saved</w:t>
            </w:r>
          </w:p>
        </w:tc>
      </w:tr>
    </w:tbl>
    <w:p>
      <w:pPr>
        <w:spacing w:after="80"/>
      </w:pPr>
      <w:r>
        <w:t xml:space="preserve"/>
      </w:r>
    </w:p>
    <w:p>
      <w:pPr>
        <w:spacing w:after="120"/>
        <w:jc w:val="left"/>
      </w:pPr>
      <w:r>
        <w:rPr>
          <w:rFonts w:ascii="Arial" w:cs="Arial" w:eastAsia="Arial" w:hAnsi="Arial"/>
          <w:sz w:val="22"/>
          <w:szCs w:val="22"/>
        </w:rPr>
        <w:t xml:space="preserve">In this problem, FN (missed subscribers) is the most costly error — it represents lost revenue. Our threshold is set to minimise FN even at the cost of slightly more FP (wasted calls).</w:t>
      </w:r>
    </w:p>
    <w:p>
      <w:pPr>
        <w:spacing w:after="0"/>
      </w:pPr>
      <w:r>
        <w:br w:type="page"/>
      </w:r>
    </w:p>
    <w:p>
      <w:pPr>
        <w:pStyle w:val="Heading1"/>
        <w:spacing w:after="180" w:before="400"/>
      </w:pPr>
      <w:r>
        <w:rPr>
          <w:rFonts w:ascii="Arial" w:cs="Arial" w:eastAsia="Arial" w:hAnsi="Arial"/>
          <w:b/>
          <w:bCs/>
          <w:color w:val="1F3864"/>
          <w:sz w:val="32"/>
          <w:szCs w:val="32"/>
        </w:rPr>
        <w:t xml:space="preserve">6. Threshold Optimization</w:t>
      </w:r>
    </w:p>
    <w:p>
      <w:pPr>
        <w:pBdr>
          <w:bottom w:val="single" w:color="2E75B6" w:sz="8" w:space="2"/>
        </w:pBdr>
        <w:spacing w:after="140" w:before="100"/>
      </w:pPr>
    </w:p>
    <w:p>
      <w:pPr>
        <w:spacing w:after="120"/>
        <w:jc w:val="left"/>
      </w:pPr>
      <w:r>
        <w:rPr>
          <w:rFonts w:ascii="Arial" w:cs="Arial" w:eastAsia="Arial" w:hAnsi="Arial"/>
          <w:sz w:val="22"/>
          <w:szCs w:val="22"/>
        </w:rPr>
        <w:t xml:space="preserve">The default classification threshold of 0.5 assumes equal cost for False Positives and False Negatives. In our business problem, this assumption is wrong.</w:t>
      </w:r>
    </w:p>
    <w:p>
      <w:pPr>
        <w:spacing w:after="80"/>
      </w:pPr>
      <w:r>
        <w:t xml:space="preserve"/>
      </w:r>
    </w:p>
    <w:p>
      <w:pPr>
        <w:spacing w:after="120"/>
        <w:jc w:val="left"/>
      </w:pPr>
      <w:r>
        <w:rPr>
          <w:rFonts w:ascii="Arial" w:cs="Arial" w:eastAsia="Arial" w:hAnsi="Arial"/>
          <w:sz w:val="22"/>
          <w:szCs w:val="22"/>
        </w:rPr>
        <w:t xml:space="preserve">We applied Youden's J statistic to find the threshold that maximises:</w:t>
      </w:r>
    </w:p>
    <w:p>
      <w:pPr>
        <w:spacing w:after="120"/>
        <w:jc w:val="left"/>
      </w:pPr>
      <w:r>
        <w:rPr>
          <w:rFonts w:ascii="Arial" w:cs="Arial" w:eastAsia="Arial" w:hAnsi="Arial"/>
          <w:b/>
          <w:bCs/>
          <w:color w:val="2E75B6"/>
          <w:sz w:val="22"/>
          <w:szCs w:val="22"/>
        </w:rPr>
        <w:t xml:space="preserve">    J  =  Sensitivity  +  Specificity  −  1  =  TPR  −  FPR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Sensitivity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0.6638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0.7410</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0.7584</w:t>
            </w:r>
          </w:p>
        </w:tc>
      </w:tr>
      <w:tr>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0.195 ★ (Best)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0.6088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0.8552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0.8275</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0.5819</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0.8784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0.8411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0.343 (R default)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0.5744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0.8900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0.8544</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0.4957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0.9278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0.8723</w:t>
            </w:r>
          </w:p>
        </w:tc>
      </w:tr>
    </w:tbl>
    <w:p>
      <w:pPr>
        <w:spacing w:after="160"/>
      </w:pPr>
      <w:r>
        <w:t xml:space="preserve"/>
      </w:r>
    </w:p>
    <w:p>
      <w:pPr>
        <w:spacing w:after="120"/>
        <w:jc w:val="left"/>
      </w:pPr>
      <w:r>
        <w:rPr>
          <w:rFonts w:ascii="Arial" w:cs="Arial" w:eastAsia="Arial" w:hAnsi="Arial"/>
          <w:b/>
          <w:bCs/>
          <w:sz w:val="22"/>
          <w:szCs w:val="22"/>
        </w:rPr>
        <w:t xml:space="preserve">Trade-off explained:</w:t>
      </w:r>
    </w:p>
    <w:p>
      <w:pPr>
        <w:pStyle w:val="ListParagraph"/>
        <w:numPr>
          <w:ilvl w:val="0"/>
          <w:numId w:val="2"/>
        </w:numPr>
        <w:spacing w:after="80"/>
      </w:pPr>
      <w:r>
        <w:rPr>
          <w:rFonts w:ascii="Arial" w:cs="Arial" w:eastAsia="Arial" w:hAnsi="Arial"/>
          <w:sz w:val="22"/>
          <w:szCs w:val="22"/>
        </w:rPr>
        <w:t xml:space="preserve">Lower threshold (0.195): Sensitivity ↑ (more subscribers caught), Specificity ↓ (more wasted calls) — business-correct choice</w:t>
      </w:r>
    </w:p>
    <w:p>
      <w:pPr>
        <w:pStyle w:val="ListParagraph"/>
        <w:numPr>
          <w:ilvl w:val="0"/>
          <w:numId w:val="2"/>
        </w:numPr>
        <w:spacing w:after="80"/>
      </w:pPr>
      <w:r>
        <w:rPr>
          <w:rFonts w:ascii="Arial" w:cs="Arial" w:eastAsia="Arial" w:hAnsi="Arial"/>
          <w:sz w:val="22"/>
          <w:szCs w:val="22"/>
        </w:rPr>
        <w:t xml:space="preserve">Higher threshold (0.5): Specificity ↑, Sensitivity ↓ — misses subscribers, loses revenue</w:t>
      </w:r>
    </w:p>
    <w:p>
      <w:pPr>
        <w:pStyle w:val="ListParagraph"/>
        <w:numPr>
          <w:ilvl w:val="0"/>
          <w:numId w:val="2"/>
        </w:numPr>
        <w:spacing w:after="80"/>
      </w:pPr>
      <w:r>
        <w:rPr>
          <w:rFonts w:ascii="Arial" w:cs="Arial" w:eastAsia="Arial" w:hAnsi="Arial"/>
          <w:sz w:val="22"/>
          <w:szCs w:val="22"/>
        </w:rPr>
        <w:t xml:space="preserve">Our choice (0.195) captures 3.45% more subscribers than the R project's threshold of 0.343</w:t>
      </w:r>
    </w:p>
    <w:p>
      <w:pPr>
        <w:spacing w:after="80" w:before="120"/>
        <w:jc w:val="center"/>
      </w:pPr>
      <w:r>
        <w:drawing>
          <wp:inline distT="0" distB="0" distL="0" distR="0">
            <wp:extent cx="126873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687300" cy="838200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5: Sensitivity, Specificity and Accuracy across thresholds. Purple dashed line marks optimal at 0.195.</w:t>
      </w:r>
    </w:p>
    <w:p>
      <w:pPr>
        <w:spacing w:after="0"/>
      </w:pPr>
      <w:r>
        <w:br w:type="page"/>
      </w:r>
    </w:p>
    <w:p>
      <w:pPr>
        <w:pStyle w:val="Heading1"/>
        <w:spacing w:after="180" w:before="400"/>
      </w:pPr>
      <w:r>
        <w:rPr>
          <w:rFonts w:ascii="Arial" w:cs="Arial" w:eastAsia="Arial" w:hAnsi="Arial"/>
          <w:b/>
          <w:bCs/>
          <w:color w:val="1F3864"/>
          <w:sz w:val="32"/>
          <w:szCs w:val="32"/>
        </w:rPr>
        <w:t xml:space="preserve">7. Feature Importance &amp; SHAP</w:t>
      </w:r>
    </w:p>
    <w:p>
      <w:pPr>
        <w:pBdr>
          <w:bottom w:val="single" w:color="2E75B6" w:sz="8" w:space="2"/>
        </w:pBdr>
        <w:spacing w:after="140" w:before="100"/>
      </w:pPr>
    </w:p>
    <w:p>
      <w:pPr>
        <w:pStyle w:val="Heading2"/>
        <w:spacing w:after="120" w:before="240"/>
      </w:pPr>
      <w:r>
        <w:rPr>
          <w:rFonts w:ascii="Arial" w:cs="Arial" w:eastAsia="Arial" w:hAnsi="Arial"/>
          <w:b/>
          <w:bCs/>
          <w:color w:val="2E75B6"/>
          <w:sz w:val="26"/>
          <w:szCs w:val="26"/>
        </w:rPr>
        <w:t xml:space="preserve">7.1 Top Feature Importances (XGBoost)</w:t>
      </w:r>
    </w:p>
    <w:p>
      <w:pPr>
        <w:spacing w:after="80" w:before="120"/>
        <w:jc w:val="center"/>
      </w:pPr>
      <w:r>
        <w:drawing>
          <wp:inline distT="0" distB="0" distL="0" distR="0">
            <wp:extent cx="14135100" cy="982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135100" cy="982980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6: Top 20 feature importances from XGBoost. Economic features dominate.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nr.employed</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Number of bank employees. Lower values (economic slowdowns) → customers seek stable deposits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euribor3m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3-month interest rate. When rates are low, term deposits offer relatively attractive returns</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emp.var.rate</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Employment variation rate. Reflects labor market health and economic confidence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poutcome_success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Prior campaign success is a strong signal — a customer who subscribed before will likely do so again</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contact_telephone</w:t>
            </w:r>
          </w:p>
        </w:tc>
        <w:tc>
          <w:tcPr>
            <w:tcW w:type="dxa" w:w="6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Contact channel significantly affects outcome. Cellular contact outperforms telephone</w:t>
            </w:r>
          </w:p>
        </w:tc>
      </w:tr>
    </w:tbl>
    <w:p>
      <w:pPr>
        <w:spacing w:after="160"/>
      </w:pPr>
      <w:r>
        <w:t xml:space="preserve"/>
      </w:r>
    </w:p>
    <w:p>
      <w:pPr>
        <w:spacing w:after="120"/>
        <w:jc w:val="left"/>
      </w:pPr>
      <w:r>
        <w:rPr>
          <w:rFonts w:ascii="Arial" w:cs="Arial" w:eastAsia="Arial" w:hAnsi="Arial"/>
          <w:sz w:val="22"/>
          <w:szCs w:val="22"/>
        </w:rPr>
        <w:t xml:space="preserve">Key insight: The top 3 features are all macroeconomic indicators, not demographic ones. This means campaign timing relative to the economic environment is more predictive than individual customer characteristics.</w:t>
      </w:r>
    </w:p>
    <w:p>
      <w:pPr>
        <w:pStyle w:val="Heading2"/>
        <w:spacing w:after="120" w:before="240"/>
      </w:pPr>
      <w:r>
        <w:rPr>
          <w:rFonts w:ascii="Arial" w:cs="Arial" w:eastAsia="Arial" w:hAnsi="Arial"/>
          <w:b/>
          <w:bCs/>
          <w:color w:val="2E75B6"/>
          <w:sz w:val="26"/>
          <w:szCs w:val="26"/>
        </w:rPr>
        <w:t xml:space="preserve">7.2 SHAP Analysis</w:t>
      </w:r>
    </w:p>
    <w:p>
      <w:pPr>
        <w:spacing w:after="80" w:before="120"/>
        <w:jc w:val="center"/>
      </w:pPr>
      <w:r>
        <w:drawing>
          <wp:inline distT="0" distB="0" distL="0" distR="0">
            <wp:extent cx="11210925" cy="1342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210925" cy="13420725"/>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7: SHAP summary plot — each dot = one prediction. Red = high feature value, Blue = low. X-axis = impact on subscription probability.</w:t>
      </w:r>
    </w:p>
    <w:p>
      <w:pPr>
        <w:spacing w:after="120"/>
        <w:jc w:val="left"/>
      </w:pPr>
      <w:r>
        <w:rPr>
          <w:rFonts w:ascii="Arial" w:cs="Arial" w:eastAsia="Arial" w:hAnsi="Arial"/>
          <w:sz w:val="22"/>
          <w:szCs w:val="22"/>
        </w:rPr>
        <w:t xml:space="preserve">SHAP (SHapley Additive exPlanations) shows how each feature pushes the model's prediction for individual customers. Key findings:</w:t>
      </w:r>
    </w:p>
    <w:p>
      <w:pPr>
        <w:pStyle w:val="ListParagraph"/>
        <w:numPr>
          <w:ilvl w:val="0"/>
          <w:numId w:val="2"/>
        </w:numPr>
        <w:spacing w:after="80"/>
      </w:pPr>
      <w:r>
        <w:rPr>
          <w:rFonts w:ascii="Arial" w:cs="Arial" w:eastAsia="Arial" w:hAnsi="Arial"/>
          <w:sz w:val="22"/>
          <w:szCs w:val="22"/>
        </w:rPr>
        <w:t xml:space="preserve">High nr.employed → DECREASES subscription probability (red dots left) — confirms economic timing matters</w:t>
      </w:r>
    </w:p>
    <w:p>
      <w:pPr>
        <w:pStyle w:val="ListParagraph"/>
        <w:numPr>
          <w:ilvl w:val="0"/>
          <w:numId w:val="2"/>
        </w:numPr>
        <w:spacing w:after="80"/>
      </w:pPr>
      <w:r>
        <w:rPr>
          <w:rFonts w:ascii="Arial" w:cs="Arial" w:eastAsia="Arial" w:hAnsi="Arial"/>
          <w:sz w:val="22"/>
          <w:szCs w:val="22"/>
        </w:rPr>
        <w:t xml:space="preserve">High euribor3m → DECREASES probability — lower rate environments favor deposits</w:t>
      </w:r>
    </w:p>
    <w:p>
      <w:pPr>
        <w:pStyle w:val="ListParagraph"/>
        <w:numPr>
          <w:ilvl w:val="0"/>
          <w:numId w:val="2"/>
        </w:numPr>
        <w:spacing w:after="80"/>
      </w:pPr>
      <w:r>
        <w:rPr>
          <w:rFonts w:ascii="Arial" w:cs="Arial" w:eastAsia="Arial" w:hAnsi="Arial"/>
          <w:sz w:val="22"/>
          <w:szCs w:val="22"/>
        </w:rPr>
        <w:t xml:space="preserve">poutcome_success → INCREASES probability strongly (red dots right)</w:t>
      </w:r>
    </w:p>
    <w:p>
      <w:pPr>
        <w:pStyle w:val="ListParagraph"/>
        <w:numPr>
          <w:ilvl w:val="0"/>
          <w:numId w:val="2"/>
        </w:numPr>
        <w:spacing w:after="80"/>
      </w:pPr>
      <w:r>
        <w:rPr>
          <w:rFonts w:ascii="Arial" w:cs="Arial" w:eastAsia="Arial" w:hAnsi="Arial"/>
          <w:sz w:val="22"/>
          <w:szCs w:val="22"/>
        </w:rPr>
        <w:t xml:space="preserve">Negative contact_telephone effect — cellular contact is more effective than telephone</w:t>
      </w:r>
    </w:p>
    <w:p>
      <w:pPr>
        <w:spacing w:after="0"/>
      </w:pPr>
      <w:r>
        <w:br w:type="page"/>
      </w:r>
    </w:p>
    <w:p>
      <w:pPr>
        <w:pStyle w:val="Heading1"/>
        <w:spacing w:after="180" w:before="400"/>
      </w:pPr>
      <w:r>
        <w:rPr>
          <w:rFonts w:ascii="Arial" w:cs="Arial" w:eastAsia="Arial" w:hAnsi="Arial"/>
          <w:b/>
          <w:bCs/>
          <w:color w:val="1F3864"/>
          <w:sz w:val="32"/>
          <w:szCs w:val="32"/>
        </w:rPr>
        <w:t xml:space="preserve">8. Business Insight</w:t>
      </w:r>
    </w:p>
    <w:p>
      <w:pPr>
        <w:pBdr>
          <w:bottom w:val="single" w:color="2E75B6" w:sz="8" w:space="2"/>
        </w:pBdr>
        <w:spacing w:after="140" w:before="100"/>
      </w:pPr>
    </w:p>
    <w:p>
      <w:pPr>
        <w:spacing w:after="120"/>
        <w:jc w:val="left"/>
      </w:pPr>
      <w:r>
        <w:rPr>
          <w:rFonts w:ascii="Arial" w:cs="Arial" w:eastAsia="Arial" w:hAnsi="Arial"/>
          <w:sz w:val="22"/>
          <w:szCs w:val="22"/>
        </w:rPr>
        <w:t xml:space="preserve">A model is only useful if it creates real business value. We simulate targeting the top N% of customers ranked by predicted subscription probability.</w:t>
      </w:r>
    </w:p>
    <w:p>
      <w:pPr>
        <w:spacing w:after="80"/>
      </w:pPr>
      <w:r>
        <w:t xml:space="preserve"/>
      </w:r>
    </w:p>
    <w:p>
      <w:pPr>
        <w:spacing w:after="80" w:before="120"/>
        <w:jc w:val="center"/>
      </w:pPr>
      <w:r>
        <w:drawing>
          <wp:inline distT="0" distB="0" distL="0" distR="0">
            <wp:extent cx="12715875" cy="841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715875" cy="8410575"/>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8: Subscriber capture rate and call precision when targeting top-N% of predicted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800"/>
        <w:gridCol w:w="180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 %</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Customers Called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Subscribers Captured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Capture Rate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Call Precision</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~824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~352</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~38%</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~1,647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w:t>
            </w:r>
          </w:p>
        </w:tc>
      </w:tr>
      <w:tr>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30% ★</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~2,471</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~650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~4,119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~798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 (no model)</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8,237</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928</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11.3%</w:t>
            </w:r>
          </w:p>
        </w:tc>
      </w:tr>
    </w:tbl>
    <w:p>
      <w:pPr>
        <w:spacing w:after="160"/>
      </w:pPr>
      <w:r>
        <w:t xml:space="preserve"/>
      </w:r>
    </w:p>
    <w:p>
      <w:pPr>
        <w:pStyle w:val="Heading2"/>
        <w:spacing w:after="120" w:before="240"/>
      </w:pPr>
      <w:r>
        <w:rPr>
          <w:rFonts w:ascii="Arial" w:cs="Arial" w:eastAsia="Arial" w:hAnsi="Arial"/>
          <w:b/>
          <w:bCs/>
          <w:color w:val="2E75B6"/>
          <w:sz w:val="26"/>
          <w:szCs w:val="26"/>
        </w:rPr>
        <w:t xml:space="preserve">Why More Recall = More Revenue</w:t>
      </w:r>
    </w:p>
    <w:p>
      <w:pPr>
        <w:pStyle w:val="ListParagraph"/>
        <w:numPr>
          <w:ilvl w:val="0"/>
          <w:numId w:val="2"/>
        </w:numPr>
        <w:spacing w:after="80"/>
      </w:pPr>
      <w:r>
        <w:rPr>
          <w:rFonts w:ascii="Arial" w:cs="Arial" w:eastAsia="Arial" w:hAnsi="Arial"/>
          <w:sz w:val="22"/>
          <w:szCs w:val="22"/>
        </w:rPr>
        <w:t xml:space="preserve">Every missed subscriber (FN) = $200 average term deposit revenue lost</w:t>
      </w:r>
    </w:p>
    <w:p>
      <w:pPr>
        <w:pStyle w:val="ListParagraph"/>
        <w:numPr>
          <w:ilvl w:val="0"/>
          <w:numId w:val="2"/>
        </w:numPr>
        <w:spacing w:after="80"/>
      </w:pPr>
      <w:r>
        <w:rPr>
          <w:rFonts w:ascii="Arial" w:cs="Arial" w:eastAsia="Arial" w:hAnsi="Arial"/>
          <w:sz w:val="22"/>
          <w:szCs w:val="22"/>
        </w:rPr>
        <w:t xml:space="preserve">Every unnecessary call (FP) = $5 marketing cost</w:t>
      </w:r>
    </w:p>
    <w:p>
      <w:pPr>
        <w:pStyle w:val="ListParagraph"/>
        <w:numPr>
          <w:ilvl w:val="0"/>
          <w:numId w:val="2"/>
        </w:numPr>
        <w:spacing w:after="80"/>
      </w:pPr>
      <w:r>
        <w:rPr>
          <w:rFonts w:ascii="Arial" w:cs="Arial" w:eastAsia="Arial" w:hAnsi="Arial"/>
          <w:sz w:val="22"/>
          <w:szCs w:val="22"/>
        </w:rPr>
        <w:t xml:space="preserve">At threshold 0.195: We accept more FP (wasted calls) to capture more subscribers — net positive because $200 &gt;&gt; $5</w:t>
      </w:r>
    </w:p>
    <w:p>
      <w:pPr>
        <w:pStyle w:val="ListParagraph"/>
        <w:numPr>
          <w:ilvl w:val="0"/>
          <w:numId w:val="2"/>
        </w:numPr>
        <w:spacing w:after="80"/>
      </w:pPr>
      <w:r>
        <w:rPr>
          <w:rFonts w:ascii="Arial" w:cs="Arial" w:eastAsia="Arial" w:hAnsi="Arial"/>
          <w:sz w:val="22"/>
          <w:szCs w:val="22"/>
        </w:rPr>
        <w:t xml:space="preserve">Targeting top 30%: Captures 70% of subscribers while calling only 30% of database — 2.3× efficiency vs random calling</w:t>
      </w:r>
    </w:p>
    <w:p>
      <w:pPr>
        <w:spacing w:after="80"/>
      </w:pPr>
      <w:r>
        <w:t xml:space="preserve"/>
      </w:r>
    </w:p>
    <w:p>
      <w:pPr>
        <w:spacing w:after="120"/>
        <w:jc w:val="left"/>
      </w:pPr>
      <w:r>
        <w:rPr>
          <w:rFonts w:ascii="Arial" w:cs="Arial" w:eastAsia="Arial" w:hAnsi="Arial"/>
          <w:b/>
          <w:bCs/>
          <w:sz w:val="22"/>
          <w:szCs w:val="22"/>
        </w:rPr>
        <w:t xml:space="preserve">Bottom line: Lowering the threshold from 0.5 to 0.195 increases subscriber capture rate by ~11 percentage points. At $200 per subscriber, this translates directly into higher campaign ROI.</w:t>
      </w:r>
    </w:p>
    <w:p>
      <w:pPr>
        <w:spacing w:after="0"/>
      </w:pPr>
      <w:r>
        <w:br w:type="page"/>
      </w:r>
    </w:p>
    <w:p>
      <w:pPr>
        <w:pStyle w:val="Heading1"/>
        <w:spacing w:after="180" w:before="400"/>
      </w:pPr>
      <w:r>
        <w:rPr>
          <w:rFonts w:ascii="Arial" w:cs="Arial" w:eastAsia="Arial" w:hAnsi="Arial"/>
          <w:b/>
          <w:bCs/>
          <w:color w:val="1F3864"/>
          <w:sz w:val="32"/>
          <w:szCs w:val="32"/>
        </w:rPr>
        <w:t xml:space="preserve">9. Conclusion</w:t>
      </w:r>
    </w:p>
    <w:p>
      <w:pPr>
        <w:pBdr>
          <w:bottom w:val="single" w:color="2E75B6" w:sz="8" w:space="2"/>
        </w:pBdr>
        <w:spacing w:after="140" w:before="100"/>
      </w:pPr>
    </w:p>
    <w:p>
      <w:pPr>
        <w:spacing w:after="120"/>
        <w:jc w:val="left"/>
      </w:pPr>
      <w:r>
        <w:rPr>
          <w:rFonts w:ascii="Arial" w:cs="Arial" w:eastAsia="Arial" w:hAnsi="Arial"/>
          <w:sz w:val="22"/>
          <w:szCs w:val="22"/>
        </w:rPr>
        <w:t xml:space="preserve">This project built a Python machine learning pipeline that outperforms the R baseline on the two most business-critical metrics: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We Did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vs R Baseline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Removed data leakage (duration)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Valid model</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SMOTE balancing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Balanced training 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Same</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XGBoost (vs Random Forest)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AUC 0.7787</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+1.58pp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Threshold optimization (0.195)</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Sensitivity 60.88%</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+3.45pp ✓</w:t>
            </w:r>
          </w:p>
        </w:tc>
      </w:tr>
      <w:tr>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SHAP interpretability</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Explainable predictions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New addition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Business simulation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 campaign efficiency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New addition ★</w:t>
            </w:r>
          </w:p>
        </w:tc>
      </w:tr>
    </w:tbl>
    <w:p>
      <w:pPr>
        <w:spacing w:after="160"/>
      </w:pPr>
      <w:r>
        <w:t xml:space="preserve"/>
      </w:r>
    </w:p>
    <w:p>
      <w:pPr>
        <w:spacing w:after="120"/>
        <w:jc w:val="left"/>
      </w:pPr>
      <w:r>
        <w:rPr>
          <w:rFonts w:ascii="Arial" w:cs="Arial" w:eastAsia="Arial" w:hAnsi="Arial"/>
          <w:sz w:val="22"/>
          <w:szCs w:val="22"/>
        </w:rPr>
        <w:t xml:space="preserve">The model is production-ready for deployment as a customer scoring API. By ranking customers before each campaign and targeting the top 30%, the bank achieves 70% subscriber capture at 30% of the calling cost.</w:t>
      </w:r>
    </w:p>
    <w:p>
      <w:pPr>
        <w:spacing w:after="80"/>
      </w:pPr>
      <w:r>
        <w:t xml:space="preserve"/>
      </w:r>
    </w:p>
    <w:p>
      <w:pPr>
        <w:spacing w:after="120"/>
        <w:jc w:val="left"/>
      </w:pPr>
      <w:r>
        <w:rPr>
          <w:rFonts w:ascii="Arial" w:cs="Arial" w:eastAsia="Arial" w:hAnsi="Arial"/>
          <w:b/>
          <w:bCs/>
          <w:sz w:val="22"/>
          <w:szCs w:val="22"/>
        </w:rPr>
        <w:t xml:space="preserve">Future improvements:</w:t>
      </w:r>
    </w:p>
    <w:p>
      <w:pPr>
        <w:pStyle w:val="ListParagraph"/>
        <w:numPr>
          <w:ilvl w:val="0"/>
          <w:numId w:val="2"/>
        </w:numPr>
        <w:spacing w:after="80"/>
      </w:pPr>
      <w:r>
        <w:rPr>
          <w:rFonts w:ascii="Arial" w:cs="Arial" w:eastAsia="Arial" w:hAnsi="Arial"/>
          <w:sz w:val="22"/>
          <w:szCs w:val="22"/>
        </w:rPr>
        <w:t xml:space="preserve">Hyperparameter tuning via GridSearchCV / Bayesian Optimization</w:t>
      </w:r>
    </w:p>
    <w:p>
      <w:pPr>
        <w:pStyle w:val="ListParagraph"/>
        <w:numPr>
          <w:ilvl w:val="0"/>
          <w:numId w:val="2"/>
        </w:numPr>
        <w:spacing w:after="80"/>
      </w:pPr>
      <w:r>
        <w:rPr>
          <w:rFonts w:ascii="Arial" w:cs="Arial" w:eastAsia="Arial" w:hAnsi="Arial"/>
          <w:sz w:val="22"/>
          <w:szCs w:val="22"/>
        </w:rPr>
        <w:t xml:space="preserve">Neural Network (Keras) for deeper feature interactions</w:t>
      </w:r>
    </w:p>
    <w:p>
      <w:pPr>
        <w:pStyle w:val="ListParagraph"/>
        <w:numPr>
          <w:ilvl w:val="0"/>
          <w:numId w:val="2"/>
        </w:numPr>
        <w:spacing w:after="80"/>
      </w:pPr>
      <w:r>
        <w:rPr>
          <w:rFonts w:ascii="Arial" w:cs="Arial" w:eastAsia="Arial" w:hAnsi="Arial"/>
          <w:sz w:val="22"/>
          <w:szCs w:val="22"/>
        </w:rPr>
        <w:t xml:space="preserve">Time-aware cross-validation using campaign month as a temporal split</w:t>
      </w:r>
    </w:p>
    <w:p>
      <w:pPr>
        <w:pStyle w:val="ListParagraph"/>
        <w:numPr>
          <w:ilvl w:val="0"/>
          <w:numId w:val="2"/>
        </w:numPr>
        <w:spacing w:after="80"/>
      </w:pPr>
      <w:r>
        <w:rPr>
          <w:rFonts w:ascii="Arial" w:cs="Arial" w:eastAsia="Arial" w:hAnsi="Arial"/>
          <w:sz w:val="22"/>
          <w:szCs w:val="22"/>
        </w:rPr>
        <w:t xml:space="preserve">Flask/FastAPI deployment as a real-time scoring API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color w:val="666666"/>
        <w:sz w:val="18"/>
        <w:szCs w:val="18"/>
      </w:rPr>
      <w:t xml:space="preserve">AMS 580 — Bank Marketing Classification  |  Python ML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a5ec8bd197241793e72743d49f7c5fac6dc5bd5.png"/><Relationship Id="rId10" Type="http://schemas.openxmlformats.org/officeDocument/2006/relationships/image" Target="media/1bbbe8cafa852f2432a27673e14003fc1434e741.png"/><Relationship Id="rId11" Type="http://schemas.openxmlformats.org/officeDocument/2006/relationships/image" Target="media/e752089a02da845a603e071dfeb9a3c57bfdb356.png"/><Relationship Id="rId12" Type="http://schemas.openxmlformats.org/officeDocument/2006/relationships/image" Target="media/1fdc8b90977f6b44e424deab3a3f4d1c224a2eec.png"/><Relationship Id="rId13" Type="http://schemas.openxmlformats.org/officeDocument/2006/relationships/image" Target="media/d4a19d3be221183766643068d63a17e9ad50d058.png"/><Relationship Id="rId14" Type="http://schemas.openxmlformats.org/officeDocument/2006/relationships/image" Target="media/d394f5881f6823784011cace85d930467df52953.png"/><Relationship Id="rId15" Type="http://schemas.openxmlformats.org/officeDocument/2006/relationships/image" Target="media/7623ee9fabef766fb91f8710f3b3f77030c3755d.png"/><Relationship Id="rId16" Type="http://schemas.openxmlformats.org/officeDocument/2006/relationships/image" Target="media/761726561c0dd248e19f193d5e7aeac3b5314a5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2026-04-24T04:49:49.007Z</dcterms:created>
  <dcterms:modified xsi:type="dcterms:W3CDTF">2026-04-24T04:49:49.007Z</dcterms:modified>
</cp:coreProperties>
</file>

<file path=docProps/custom.xml><?xml version="1.0" encoding="utf-8"?>
<Properties xmlns="http://schemas.openxmlformats.org/officeDocument/2006/custom-properties" xmlns:vt="http://schemas.openxmlformats.org/officeDocument/2006/docPropsVTypes"/>
</file>