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eyebrow"/>
        <w:bidi w:val="0"/>
        <w:spacing w:before="90" w:after="90"/>
        <w:jc w:val="start"/>
        <w:rPr/>
      </w:pPr>
      <w:r>
        <w:rPr/>
        <w:t>The Gen Academy · Week 3 · Build Your AI Agent</w:t>
      </w:r>
    </w:p>
    <w:p>
      <w:pPr>
        <w:pStyle w:val="Heading1"/>
        <w:bidi w:val="0"/>
        <w:jc w:val="start"/>
        <w:rPr/>
      </w:pPr>
      <w:r>
        <w:rPr/>
        <w:t>Intellia</w:t>
      </w:r>
    </w:p>
    <w:p>
      <w:pPr>
        <w:pStyle w:val="BodyTextsubtitle"/>
        <w:bidi w:val="0"/>
        <w:jc w:val="start"/>
        <w:rPr/>
      </w:pPr>
      <w:r>
        <w:rPr/>
        <w:t>A seller-facing, evidence-grounded multi-agent system for external competitive intelligence.</w:t>
      </w:r>
    </w:p>
    <w:p>
      <w:pPr>
        <w:pStyle w:val="BodyText"/>
        <w:bidi w:val="0"/>
        <w:spacing w:before="1584" w:after="90"/>
        <w:ind w:hanging="0" w:start="0" w:end="0"/>
        <w:jc w:val="start"/>
        <w:rPr/>
      </w:pPr>
      <w:r>
        <w:rPr>
          <w:rStyle w:val="Strong"/>
          <w:bdr w:val="single" w:sz="30" w:space="14" w:color="B8893B"/>
          <w:shd w:fill="FFFFFF" w:val="clear"/>
        </w:rPr>
        <w:t>Project alignment:</w:t>
      </w:r>
      <w:r>
        <w:rPr>
          <w:bdr w:val="single" w:sz="30" w:space="14" w:color="B8893B"/>
          <w:shd w:fill="FFFFFF" w:val="clear"/>
        </w:rPr>
        <w:t xml:space="preserve"> 3A Market Research Agent — Competitor Analysis</w:t>
      </w:r>
    </w:p>
    <w:p>
      <w:pPr>
        <w:pStyle w:val="BodyText"/>
        <w:bidi w:val="0"/>
        <w:spacing w:before="1584" w:after="90"/>
        <w:jc w:val="start"/>
        <w:rPr/>
      </w:pPr>
      <w:r>
        <w:rPr>
          <w:rStyle w:val="Strong"/>
          <w:bdr w:val="single" w:sz="30" w:space="14" w:color="B8893B"/>
          <w:shd w:fill="FFFFFF" w:val="clear"/>
        </w:rPr>
        <w:t>Implementation:</w:t>
      </w:r>
      <w:r>
        <w:rPr>
          <w:bdr w:val="single" w:sz="30" w:space="14" w:color="B8893B"/>
          <w:shd w:fill="FFFFFF" w:val="clear"/>
        </w:rPr>
        <w:t xml:space="preserve"> Custom TypeScript/Next.js multi-agent harness</w:t>
      </w:r>
    </w:p>
    <w:p>
      <w:pPr>
        <w:pStyle w:val="BodyText"/>
        <w:bidi w:val="0"/>
        <w:spacing w:before="1584" w:after="90"/>
        <w:jc w:val="start"/>
        <w:rPr/>
      </w:pPr>
      <w:r>
        <w:rPr>
          <w:rStyle w:val="Strong"/>
          <w:bdr w:val="single" w:sz="30" w:space="14" w:color="B8893B"/>
          <w:shd w:fill="FFFFFF" w:val="clear"/>
        </w:rPr>
        <w:t>Production app:</w:t>
      </w:r>
      <w:r>
        <w:rPr>
          <w:bdr w:val="single" w:sz="30" w:space="14" w:color="B8893B"/>
          <w:shd w:fill="FFFFFF" w:val="clear"/>
        </w:rPr>
        <w:t xml:space="preserve"> </w:t>
      </w:r>
      <w:hyperlink r:id="rId2">
        <w:r>
          <w:rPr>
            <w:rStyle w:val="Hyperlink"/>
            <w:bdr w:val="single" w:sz="30" w:space="14" w:color="B8893B"/>
            <w:shd w:fill="FFFFFF" w:val="clear"/>
          </w:rPr>
          <w:t>Open Intellia</w:t>
        </w:r>
      </w:hyperlink>
    </w:p>
    <w:p>
      <w:pPr>
        <w:pStyle w:val="BodyText"/>
        <w:bidi w:val="0"/>
        <w:spacing w:before="1584" w:after="90"/>
        <w:jc w:val="start"/>
        <w:rPr/>
      </w:pPr>
      <w:r>
        <w:rPr>
          <w:rStyle w:val="Strong"/>
          <w:bdr w:val="single" w:sz="30" w:space="14" w:color="B8893B"/>
          <w:shd w:fill="FFFFFF" w:val="clear"/>
        </w:rPr>
        <w:t>Public code:</w:t>
      </w:r>
      <w:r>
        <w:rPr>
          <w:bdr w:val="single" w:sz="30" w:space="14" w:color="B8893B"/>
          <w:shd w:fill="FFFFFF" w:val="clear"/>
        </w:rPr>
        <w:t xml:space="preserve"> </w:t>
      </w:r>
      <w:hyperlink r:id="rId3">
        <w:r>
          <w:rPr>
            <w:rStyle w:val="Hyperlink"/>
            <w:bdr w:val="single" w:sz="30" w:space="14" w:color="B8893B"/>
            <w:shd w:fill="FFFFFF" w:val="clear"/>
          </w:rPr>
          <w:t>github.com/ak-55-lab/intellia-competitive-intel</w:t>
        </w:r>
      </w:hyperlink>
    </w:p>
    <w:p>
      <w:pPr>
        <w:pStyle w:val="BodyText"/>
        <w:bidi w:val="0"/>
        <w:spacing w:before="1584" w:after="90"/>
        <w:jc w:val="start"/>
        <w:rPr/>
      </w:pPr>
      <w:r>
        <w:rPr>
          <w:rStyle w:val="Strong"/>
          <w:bdr w:val="single" w:sz="30" w:space="14" w:color="B8893B"/>
          <w:shd w:fill="FFFFFF" w:val="clear"/>
        </w:rPr>
        <w:t>Author:</w:t>
      </w:r>
      <w:r>
        <w:rPr>
          <w:bdr w:val="single" w:sz="30" w:space="14" w:color="B8893B"/>
          <w:shd w:fill="FFFFFF" w:val="clear"/>
        </w:rPr>
        <w:t xml:space="preserve"> Akash Kamineni</w:t>
      </w:r>
    </w:p>
    <w:p>
      <w:pPr>
        <w:pStyle w:val="Heading2"/>
        <w:bidi w:val="0"/>
        <w:jc w:val="start"/>
        <w:rPr/>
      </w:pPr>
      <w:r>
        <w:rPr/>
        <w:t>1. Product overview</w:t>
      </w:r>
    </w:p>
    <w:p>
      <w:pPr>
        <w:pStyle w:val="BodyText"/>
        <w:bidi w:val="0"/>
        <w:jc w:val="start"/>
        <w:rPr/>
      </w:pPr>
      <w:r>
        <w:rPr/>
        <w:t>Intellia turns public web evidence into source-linked competitive intelligence for sellers. A user enters a focal-company website, chooses one to ten competitors, and receives a company-specific signal graph, evidence matrix, battlecards, retrieval traces, regional context, and Ask Intellia follow-up answers.</w:t>
      </w:r>
    </w:p>
    <w:p>
      <w:pPr>
        <w:pStyle w:val="BodyText"/>
        <w:bidi w:val="0"/>
        <w:spacing w:before="150" w:after="150"/>
        <w:ind w:hanging="0" w:start="150" w:end="150"/>
        <w:jc w:val="start"/>
        <w:rPr/>
      </w:pPr>
      <w:r>
        <w:rPr>
          <w:rStyle w:val="Strong"/>
          <w:bdr w:val="single" w:sz="24" w:space="10" w:color="B8893B"/>
          <w:shd w:fill="FAF5E9" w:val="clear"/>
        </w:rPr>
        <w:t>Scope:</w:t>
      </w:r>
      <w:r>
        <w:rPr>
          <w:bdr w:val="single" w:sz="24" w:space="10" w:color="B8893B"/>
          <w:shd w:fill="FAF5E9" w:val="clear"/>
        </w:rPr>
        <w:t xml:space="preserve"> external, public information only. Intellia does not access CRM data, calls, private files, employee data, or customer records.</w:t>
      </w:r>
    </w:p>
    <w:p>
      <w:pPr>
        <w:pStyle w:val="Heading2"/>
        <w:bidi w:val="0"/>
        <w:jc w:val="start"/>
        <w:rPr/>
      </w:pPr>
      <w:r>
        <w:rPr/>
        <w:t>2. What the agent does</w:t>
      </w:r>
    </w:p>
    <w:tbl>
      <w:tblPr>
        <w:tblW w:w="11339" w:type="dxa"/>
        <w:jc w:val="start"/>
        <w:tblInd w:w="0" w:type="dxa"/>
        <w:tblLayout w:type="fixed"/>
        <w:tblCellMar>
          <w:top w:w="28" w:type="dxa"/>
          <w:start w:w="28" w:type="dxa"/>
          <w:bottom w:w="28" w:type="dxa"/>
          <w:end w:w="28" w:type="dxa"/>
        </w:tblCellMar>
      </w:tblPr>
      <w:tblGrid>
        <w:gridCol w:w="1666"/>
        <w:gridCol w:w="6839"/>
        <w:gridCol w:w="2834"/>
      </w:tblGrid>
      <w:tr>
        <w:trPr/>
        <w:tc>
          <w:tcPr>
            <w:tcW w:w="1666" w:type="dxa"/>
            <w:tcBorders/>
            <w:vAlign w:val="center"/>
          </w:tcPr>
          <w:p>
            <w:pPr>
              <w:pStyle w:val="TableHeading"/>
              <w:suppressLineNumbers/>
              <w:shd w:fill="1F3A5F" w:val="clear"/>
              <w:bidi w:val="0"/>
              <w:spacing w:before="90" w:after="90"/>
              <w:jc w:val="start"/>
              <w:rPr/>
            </w:pPr>
            <w:r>
              <w:rPr/>
              <w:t>Stage</w:t>
            </w:r>
          </w:p>
        </w:tc>
        <w:tc>
          <w:tcPr>
            <w:tcW w:w="6839" w:type="dxa"/>
            <w:tcBorders/>
            <w:vAlign w:val="center"/>
          </w:tcPr>
          <w:p>
            <w:pPr>
              <w:pStyle w:val="TableHeading"/>
              <w:suppressLineNumbers/>
              <w:shd w:fill="1F3A5F" w:val="clear"/>
              <w:bidi w:val="0"/>
              <w:spacing w:before="90" w:after="90"/>
              <w:jc w:val="start"/>
              <w:rPr/>
            </w:pPr>
            <w:r>
              <w:rPr/>
              <w:t>Autonomous work</w:t>
            </w:r>
          </w:p>
        </w:tc>
        <w:tc>
          <w:tcPr>
            <w:tcW w:w="2834" w:type="dxa"/>
            <w:tcBorders/>
            <w:vAlign w:val="center"/>
          </w:tcPr>
          <w:p>
            <w:pPr>
              <w:pStyle w:val="TableHeading"/>
              <w:suppressLineNumbers/>
              <w:shd w:fill="1F3A5F" w:val="clear"/>
              <w:bidi w:val="0"/>
              <w:spacing w:before="90" w:after="90"/>
              <w:jc w:val="start"/>
              <w:rPr/>
            </w:pPr>
            <w:r>
              <w:rPr/>
              <w:t>Controlled output</w:t>
            </w:r>
          </w:p>
        </w:tc>
      </w:tr>
      <w:tr>
        <w:trPr/>
        <w:tc>
          <w:tcPr>
            <w:tcW w:w="1666" w:type="dxa"/>
            <w:tcBorders/>
            <w:vAlign w:val="center"/>
          </w:tcPr>
          <w:p>
            <w:pPr>
              <w:pStyle w:val="TableContents"/>
              <w:bidi w:val="0"/>
              <w:spacing w:before="90" w:after="90"/>
              <w:jc w:val="start"/>
              <w:rPr/>
            </w:pPr>
            <w:r>
              <w:rPr/>
              <w:t>Intake</w:t>
            </w:r>
          </w:p>
        </w:tc>
        <w:tc>
          <w:tcPr>
            <w:tcW w:w="6839" w:type="dxa"/>
            <w:tcBorders/>
            <w:vAlign w:val="center"/>
          </w:tcPr>
          <w:p>
            <w:pPr>
              <w:pStyle w:val="TableContents"/>
              <w:bidi w:val="0"/>
              <w:spacing w:before="90" w:after="90"/>
              <w:jc w:val="start"/>
              <w:rPr/>
            </w:pPr>
            <w:r>
              <w:rPr/>
              <w:t>Validates a public HTTPS website and requested competitor count.</w:t>
            </w:r>
          </w:p>
        </w:tc>
        <w:tc>
          <w:tcPr>
            <w:tcW w:w="2834" w:type="dxa"/>
            <w:tcBorders/>
            <w:vAlign w:val="center"/>
          </w:tcPr>
          <w:p>
            <w:pPr>
              <w:pStyle w:val="TableContents"/>
              <w:bidi w:val="0"/>
              <w:spacing w:before="90" w:after="90"/>
              <w:jc w:val="start"/>
              <w:rPr/>
            </w:pPr>
            <w:r>
              <w:rPr/>
              <w:t>Safe, typed run input.</w:t>
            </w:r>
          </w:p>
        </w:tc>
      </w:tr>
      <w:tr>
        <w:trPr/>
        <w:tc>
          <w:tcPr>
            <w:tcW w:w="1666" w:type="dxa"/>
            <w:tcBorders/>
            <w:vAlign w:val="center"/>
          </w:tcPr>
          <w:p>
            <w:pPr>
              <w:pStyle w:val="TableContents"/>
              <w:bidi w:val="0"/>
              <w:spacing w:before="90" w:after="90"/>
              <w:jc w:val="start"/>
              <w:rPr/>
            </w:pPr>
            <w:r>
              <w:rPr/>
              <w:t>Discovery Agent</w:t>
            </w:r>
          </w:p>
        </w:tc>
        <w:tc>
          <w:tcPr>
            <w:tcW w:w="6839" w:type="dxa"/>
            <w:tcBorders/>
            <w:vAlign w:val="center"/>
          </w:tcPr>
          <w:p>
            <w:pPr>
              <w:pStyle w:val="TableContents"/>
              <w:bidi w:val="0"/>
              <w:spacing w:before="90" w:after="90"/>
              <w:jc w:val="start"/>
              <w:rPr/>
            </w:pPr>
            <w:r>
              <w:rPr/>
              <w:t>Runs company-specific search queries, selects evidence-supported direct competitors, resolves official domains, and verifies homepage brand identity.</w:t>
            </w:r>
          </w:p>
        </w:tc>
        <w:tc>
          <w:tcPr>
            <w:tcW w:w="2834" w:type="dxa"/>
            <w:tcBorders/>
            <w:vAlign w:val="center"/>
          </w:tcPr>
          <w:p>
            <w:pPr>
              <w:pStyle w:val="TableContents"/>
              <w:bidi w:val="0"/>
              <w:spacing w:before="90" w:after="90"/>
              <w:jc w:val="start"/>
              <w:rPr/>
            </w:pPr>
            <w:r>
              <w:rPr/>
              <w:t>Live verified competitor set; no static catalog.</w:t>
            </w:r>
          </w:p>
        </w:tc>
      </w:tr>
      <w:tr>
        <w:trPr/>
        <w:tc>
          <w:tcPr>
            <w:tcW w:w="1666" w:type="dxa"/>
            <w:tcBorders/>
            <w:vAlign w:val="center"/>
          </w:tcPr>
          <w:p>
            <w:pPr>
              <w:pStyle w:val="TableContents"/>
              <w:bidi w:val="0"/>
              <w:spacing w:before="90" w:after="90"/>
              <w:jc w:val="start"/>
              <w:rPr/>
            </w:pPr>
            <w:r>
              <w:rPr/>
              <w:t>Source Collector</w:t>
            </w:r>
          </w:p>
        </w:tc>
        <w:tc>
          <w:tcPr>
            <w:tcW w:w="6839" w:type="dxa"/>
            <w:tcBorders/>
            <w:vAlign w:val="center"/>
          </w:tcPr>
          <w:p>
            <w:pPr>
              <w:pStyle w:val="TableContents"/>
              <w:bidi w:val="0"/>
              <w:spacing w:before="90" w:after="90"/>
              <w:jc w:val="start"/>
              <w:rPr/>
            </w:pPr>
            <w:r>
              <w:rPr/>
              <w:t>Searches positioning, pricing, reviews, news, partners, events, AI, hiring, finance, analyst, case-study, community, and regional lanes; retrieves selected pages.</w:t>
            </w:r>
          </w:p>
        </w:tc>
        <w:tc>
          <w:tcPr>
            <w:tcW w:w="2834" w:type="dxa"/>
            <w:tcBorders/>
            <w:vAlign w:val="center"/>
          </w:tcPr>
          <w:p>
            <w:pPr>
              <w:pStyle w:val="TableContents"/>
              <w:bidi w:val="0"/>
              <w:spacing w:before="90" w:after="90"/>
              <w:jc w:val="start"/>
              <w:rPr/>
            </w:pPr>
            <w:r>
              <w:rPr/>
              <w:t>Source ledger with traceable public evidence.</w:t>
            </w:r>
          </w:p>
        </w:tc>
      </w:tr>
      <w:tr>
        <w:trPr/>
        <w:tc>
          <w:tcPr>
            <w:tcW w:w="1666" w:type="dxa"/>
            <w:tcBorders/>
            <w:vAlign w:val="center"/>
          </w:tcPr>
          <w:p>
            <w:pPr>
              <w:pStyle w:val="TableContents"/>
              <w:bidi w:val="0"/>
              <w:spacing w:before="90" w:after="90"/>
              <w:jc w:val="start"/>
              <w:rPr/>
            </w:pPr>
            <w:r>
              <w:rPr/>
              <w:t>Deep Research Agent</w:t>
            </w:r>
          </w:p>
        </w:tc>
        <w:tc>
          <w:tcPr>
            <w:tcW w:w="6839" w:type="dxa"/>
            <w:tcBorders/>
            <w:vAlign w:val="center"/>
          </w:tcPr>
          <w:p>
            <w:pPr>
              <w:pStyle w:val="TableContents"/>
              <w:bidi w:val="0"/>
              <w:spacing w:before="90" w:after="90"/>
              <w:jc w:val="start"/>
              <w:rPr/>
            </w:pPr>
            <w:r>
              <w:rPr/>
              <w:t>Runs OpenAI web-grounded deep research when the evidence-gap policy requires it.</w:t>
            </w:r>
          </w:p>
        </w:tc>
        <w:tc>
          <w:tcPr>
            <w:tcW w:w="2834" w:type="dxa"/>
            <w:tcBorders/>
            <w:vAlign w:val="center"/>
          </w:tcPr>
          <w:p>
            <w:pPr>
              <w:pStyle w:val="TableContents"/>
              <w:bidi w:val="0"/>
              <w:spacing w:before="90" w:after="90"/>
              <w:jc w:val="start"/>
              <w:rPr/>
            </w:pPr>
            <w:r>
              <w:rPr/>
              <w:t>Cited research report or explicit warning.</w:t>
            </w:r>
          </w:p>
        </w:tc>
      </w:tr>
      <w:tr>
        <w:trPr/>
        <w:tc>
          <w:tcPr>
            <w:tcW w:w="1666" w:type="dxa"/>
            <w:tcBorders/>
            <w:vAlign w:val="center"/>
          </w:tcPr>
          <w:p>
            <w:pPr>
              <w:pStyle w:val="TableContents"/>
              <w:bidi w:val="0"/>
              <w:spacing w:before="90" w:after="90"/>
              <w:jc w:val="start"/>
              <w:rPr/>
            </w:pPr>
            <w:r>
              <w:rPr/>
              <w:t>Analysis Agents</w:t>
            </w:r>
          </w:p>
        </w:tc>
        <w:tc>
          <w:tcPr>
            <w:tcW w:w="6839" w:type="dxa"/>
            <w:tcBorders/>
            <w:vAlign w:val="center"/>
          </w:tcPr>
          <w:p>
            <w:pPr>
              <w:pStyle w:val="TableContents"/>
              <w:bidi w:val="0"/>
              <w:spacing w:before="90" w:after="90"/>
              <w:jc w:val="start"/>
              <w:rPr/>
            </w:pPr>
            <w:r>
              <w:rPr/>
              <w:t>Extract sourced claims and create battlecard positioning, objections, reframes, discovery questions, and pricing caveats.</w:t>
            </w:r>
          </w:p>
        </w:tc>
        <w:tc>
          <w:tcPr>
            <w:tcW w:w="2834" w:type="dxa"/>
            <w:tcBorders/>
            <w:vAlign w:val="center"/>
          </w:tcPr>
          <w:p>
            <w:pPr>
              <w:pStyle w:val="TableContents"/>
              <w:bidi w:val="0"/>
              <w:spacing w:before="90" w:after="90"/>
              <w:jc w:val="start"/>
              <w:rPr/>
            </w:pPr>
            <w:r>
              <w:rPr/>
              <w:t>Seller-ready structured brief.</w:t>
            </w:r>
          </w:p>
        </w:tc>
      </w:tr>
      <w:tr>
        <w:trPr/>
        <w:tc>
          <w:tcPr>
            <w:tcW w:w="1666" w:type="dxa"/>
            <w:tcBorders/>
            <w:vAlign w:val="center"/>
          </w:tcPr>
          <w:p>
            <w:pPr>
              <w:pStyle w:val="TableContents"/>
              <w:bidi w:val="0"/>
              <w:spacing w:before="90" w:after="90"/>
              <w:jc w:val="start"/>
              <w:rPr/>
            </w:pPr>
            <w:r>
              <w:rPr/>
              <w:t>QA and Persistence</w:t>
            </w:r>
          </w:p>
        </w:tc>
        <w:tc>
          <w:tcPr>
            <w:tcW w:w="6839" w:type="dxa"/>
            <w:tcBorders/>
            <w:vAlign w:val="center"/>
          </w:tcPr>
          <w:p>
            <w:pPr>
              <w:pStyle w:val="TableContents"/>
              <w:bidi w:val="0"/>
              <w:spacing w:before="90" w:after="90"/>
              <w:jc w:val="start"/>
              <w:rPr/>
            </w:pPr>
            <w:r>
              <w:rPr/>
              <w:t>Verifies evidence depth, diversity, authority, attribution, regional proof, usability, and database persistence.</w:t>
            </w:r>
          </w:p>
        </w:tc>
        <w:tc>
          <w:tcPr>
            <w:tcW w:w="2834" w:type="dxa"/>
            <w:tcBorders/>
            <w:vAlign w:val="center"/>
          </w:tcPr>
          <w:p>
            <w:pPr>
              <w:pStyle w:val="TableContents"/>
              <w:bidi w:val="0"/>
              <w:spacing w:before="90" w:after="90"/>
              <w:jc w:val="start"/>
              <w:rPr/>
            </w:pPr>
            <w:r>
              <w:rPr/>
              <w:t>Publish only when every requested competitor passes.</w:t>
            </w:r>
          </w:p>
        </w:tc>
      </w:tr>
    </w:tbl>
    <w:p>
      <w:pPr>
        <w:pStyle w:val="Heading2"/>
        <w:bidi w:val="0"/>
        <w:jc w:val="start"/>
        <w:rPr/>
      </w:pPr>
      <w:r>
        <w:rPr/>
        <w:t>3. Multi-agent architecture</w:t>
      </w:r>
    </w:p>
    <w:p>
      <w:pPr>
        <w:pStyle w:val="BodyText"/>
        <w:bidi w:val="0"/>
        <w:jc w:val="start"/>
        <w:rPr/>
      </w:pPr>
      <w:r>
        <w:rPr/>
        <w:t>Intellia is a deterministic, typed multi-agent harness. Each agent has a bounded role, passes state to the next agent, and is stopped by a quality gate rather than an unconstrained model loop.</w:t>
      </w:r>
    </w:p>
    <w:tbl>
      <w:tblPr>
        <w:tblW w:w="6636" w:type="dxa"/>
        <w:jc w:val="start"/>
        <w:tblInd w:w="0" w:type="dxa"/>
        <w:tblLayout w:type="fixed"/>
        <w:tblCellMar>
          <w:top w:w="0" w:type="dxa"/>
          <w:start w:w="0" w:type="dxa"/>
          <w:bottom w:w="0" w:type="dxa"/>
          <w:end w:w="0" w:type="dxa"/>
        </w:tblCellMar>
      </w:tblPr>
      <w:tblGrid>
        <w:gridCol w:w="6636"/>
      </w:tblGrid>
      <w:tr>
        <w:trPr/>
        <w:tc>
          <w:tcPr>
            <w:tcW w:w="6636" w:type="dxa"/>
            <w:tcBorders/>
            <w:shd w:fill="1F3A5F" w:val="clear"/>
            <w:vAlign w:val="center"/>
          </w:tcPr>
          <w:p>
            <w:pPr>
              <w:pStyle w:val="TableContents"/>
              <w:bidi w:val="0"/>
              <w:spacing w:before="90" w:after="90"/>
              <w:ind w:hanging="0" w:start="0" w:end="0"/>
              <w:jc w:val="start"/>
              <w:rPr>
                <w:b/>
                <w:color w:val="FFFFFF"/>
              </w:rPr>
            </w:pPr>
            <w:r>
              <w:rPr>
                <w:b/>
                <w:color w:val="FFFFFF"/>
              </w:rPr>
              <w:t>Seller workspace</w:t>
              <w:br/>
            </w:r>
            <w:r>
              <w:rPr>
                <w:b/>
                <w:color w:val="FFFFFF"/>
                <w:sz w:val="18"/>
              </w:rPr>
              <w:t>Website + 1–10 competitors</w:t>
            </w:r>
          </w:p>
        </w:tc>
      </w:tr>
      <w:tr>
        <w:trPr/>
        <w:tc>
          <w:tcPr>
            <w:tcW w:w="6636" w:type="dxa"/>
            <w:tcBorders/>
            <w:tcMar>
              <w:top w:w="28" w:type="dxa"/>
              <w:start w:w="28" w:type="dxa"/>
              <w:bottom w:w="28" w:type="dxa"/>
              <w:end w:w="28" w:type="dxa"/>
            </w:tcMar>
            <w:vAlign w:val="center"/>
          </w:tcPr>
          <w:p>
            <w:pPr>
              <w:pStyle w:val="TableContents"/>
              <w:bidi w:val="0"/>
              <w:spacing w:before="90" w:after="90"/>
              <w:jc w:val="start"/>
              <w:rPr>
                <w:color w:val="66809B"/>
              </w:rPr>
            </w:pPr>
            <w:r>
              <w:rPr>
                <w:color w:val="66809B"/>
              </w:rPr>
              <w:t>↓</w:t>
            </w:r>
          </w:p>
        </w:tc>
      </w:tr>
      <w:tr>
        <w:trPr/>
        <w:tc>
          <w:tcPr>
            <w:tcW w:w="6636" w:type="dxa"/>
            <w:tcBorders/>
            <w:tcMar>
              <w:top w:w="28" w:type="dxa"/>
              <w:start w:w="28" w:type="dxa"/>
              <w:bottom w:w="28" w:type="dxa"/>
              <w:end w:w="28" w:type="dxa"/>
            </w:tcMar>
            <w:vAlign w:val="center"/>
          </w:tcPr>
          <w:p>
            <w:pPr>
              <w:pStyle w:val="TableContents"/>
              <w:bidi w:val="0"/>
              <w:spacing w:before="90" w:after="90"/>
              <w:ind w:hanging="0" w:start="0" w:end="0"/>
              <w:jc w:val="start"/>
              <w:rPr/>
            </w:pPr>
            <w:r>
              <w:rPr/>
              <w:t>Protection and state</w:t>
              <w:br/>
            </w:r>
            <w:r>
              <w:rPr>
                <w:color w:val="FFFFFF"/>
                <w:sz w:val="18"/>
              </w:rPr>
              <w:t>Input validation · rate limit · PostgreSQL lock</w:t>
            </w:r>
          </w:p>
        </w:tc>
      </w:tr>
      <w:tr>
        <w:trPr/>
        <w:tc>
          <w:tcPr>
            <w:tcW w:w="6636" w:type="dxa"/>
            <w:tcBorders/>
            <w:tcMar>
              <w:top w:w="28" w:type="dxa"/>
              <w:start w:w="28" w:type="dxa"/>
              <w:bottom w:w="28" w:type="dxa"/>
              <w:end w:w="28" w:type="dxa"/>
            </w:tcMar>
            <w:vAlign w:val="center"/>
          </w:tcPr>
          <w:p>
            <w:pPr>
              <w:pStyle w:val="TableContents"/>
              <w:bidi w:val="0"/>
              <w:spacing w:before="90" w:after="90"/>
              <w:ind w:hanging="0" w:start="0" w:end="0"/>
              <w:jc w:val="start"/>
              <w:rPr>
                <w:color w:val="66809B"/>
              </w:rPr>
            </w:pPr>
            <w:r>
              <w:rPr>
                <w:color w:val="66809B"/>
              </w:rPr>
              <w:t>↓</w:t>
            </w:r>
          </w:p>
        </w:tc>
      </w:tr>
      <w:tr>
        <w:trPr/>
        <w:tc>
          <w:tcPr>
            <w:tcW w:w="6636" w:type="dxa"/>
            <w:tcBorders/>
            <w:shd w:fill="1F3A5F" w:val="clear"/>
            <w:vAlign w:val="center"/>
          </w:tcPr>
          <w:p>
            <w:pPr>
              <w:pStyle w:val="TableContents"/>
              <w:bidi w:val="0"/>
              <w:spacing w:before="90" w:after="90"/>
              <w:ind w:hanging="0" w:start="0" w:end="0"/>
              <w:jc w:val="start"/>
              <w:rPr>
                <w:b/>
                <w:color w:val="FFFFFF"/>
              </w:rPr>
            </w:pPr>
            <w:r>
              <w:rPr>
                <w:b/>
                <w:color w:val="FFFFFF"/>
              </w:rPr>
              <w:t>Discovery Agent</w:t>
              <w:br/>
            </w:r>
            <w:r>
              <w:rPr>
                <w:b/>
                <w:color w:val="FFFFFF"/>
                <w:sz w:val="18"/>
              </w:rPr>
              <w:t>You.com → official-domain resolution → Firecrawl brand verification</w:t>
            </w:r>
          </w:p>
        </w:tc>
      </w:tr>
      <w:tr>
        <w:trPr/>
        <w:tc>
          <w:tcPr>
            <w:tcW w:w="6636" w:type="dxa"/>
            <w:tcBorders/>
            <w:tcMar>
              <w:top w:w="28" w:type="dxa"/>
              <w:start w:w="28" w:type="dxa"/>
              <w:bottom w:w="28" w:type="dxa"/>
              <w:end w:w="28" w:type="dxa"/>
            </w:tcMar>
            <w:vAlign w:val="center"/>
          </w:tcPr>
          <w:p>
            <w:pPr>
              <w:pStyle w:val="TableContents"/>
              <w:bidi w:val="0"/>
              <w:spacing w:before="90" w:after="0"/>
              <w:jc w:val="start"/>
              <w:rPr>
                <w:color w:val="66809B"/>
              </w:rPr>
            </w:pPr>
            <w:r>
              <w:rPr>
                <w:color w:val="66809B"/>
              </w:rPr>
              <w:t>↓</w:t>
            </w:r>
          </w:p>
          <w:tbl>
            <w:tblPr>
              <w:tblW w:w="6490" w:type="dxa"/>
              <w:jc w:val="start"/>
              <w:tblInd w:w="0" w:type="dxa"/>
              <w:tblLayout w:type="fixed"/>
              <w:tblCellMar>
                <w:top w:w="0" w:type="dxa"/>
                <w:start w:w="0" w:type="dxa"/>
                <w:bottom w:w="0" w:type="dxa"/>
                <w:end w:w="0" w:type="dxa"/>
              </w:tblCellMar>
            </w:tblPr>
            <w:tblGrid>
              <w:gridCol w:w="2226"/>
              <w:gridCol w:w="2276"/>
              <w:gridCol w:w="1988"/>
            </w:tblGrid>
            <w:tr>
              <w:trPr/>
              <w:tc>
                <w:tcPr>
                  <w:tcW w:w="2226" w:type="dxa"/>
                  <w:tcBorders/>
                  <w:shd w:fill="1F3A5F" w:val="clear"/>
                  <w:vAlign w:val="center"/>
                </w:tcPr>
                <w:p>
                  <w:pPr>
                    <w:pStyle w:val="TableContents"/>
                    <w:bidi w:val="0"/>
                    <w:spacing w:before="90" w:after="90"/>
                    <w:ind w:hanging="0" w:start="0" w:end="0"/>
                    <w:jc w:val="start"/>
                    <w:rPr>
                      <w:b/>
                      <w:color w:val="FFFFFF"/>
                    </w:rPr>
                  </w:pPr>
                  <w:r>
                    <w:rPr>
                      <w:b/>
                      <w:color w:val="FFFFFF"/>
                    </w:rPr>
                    <w:t>Source Collector</w:t>
                    <w:br/>
                  </w:r>
                  <w:r>
                    <w:rPr>
                      <w:b/>
                      <w:color w:val="FFFFFF"/>
                      <w:sz w:val="18"/>
                    </w:rPr>
                    <w:t>Search lanes + Firecrawl</w:t>
                  </w:r>
                </w:p>
              </w:tc>
              <w:tc>
                <w:tcPr>
                  <w:tcW w:w="2276" w:type="dxa"/>
                  <w:tcBorders/>
                  <w:tcMar>
                    <w:top w:w="28" w:type="dxa"/>
                    <w:start w:w="28" w:type="dxa"/>
                    <w:bottom w:w="28" w:type="dxa"/>
                    <w:end w:w="28" w:type="dxa"/>
                  </w:tcMar>
                  <w:vAlign w:val="center"/>
                </w:tcPr>
                <w:p>
                  <w:pPr>
                    <w:pStyle w:val="TableContents"/>
                    <w:bidi w:val="0"/>
                    <w:spacing w:before="90" w:after="90"/>
                    <w:ind w:hanging="0" w:start="0" w:end="0"/>
                    <w:jc w:val="start"/>
                    <w:rPr/>
                  </w:pPr>
                  <w:r>
                    <w:rPr/>
                    <w:t>Deep Research</w:t>
                    <w:br/>
                  </w:r>
                  <w:r>
                    <w:rPr>
                      <w:color w:val="FFFFFF"/>
                      <w:sz w:val="18"/>
                    </w:rPr>
                    <w:t>OpenAI cited web research</w:t>
                  </w:r>
                </w:p>
              </w:tc>
              <w:tc>
                <w:tcPr>
                  <w:tcW w:w="1988" w:type="dxa"/>
                  <w:tcBorders/>
                  <w:shd w:fill="1F3A5F" w:val="clear"/>
                  <w:vAlign w:val="center"/>
                </w:tcPr>
                <w:p>
                  <w:pPr>
                    <w:pStyle w:val="TableContents"/>
                    <w:bidi w:val="0"/>
                    <w:spacing w:before="90" w:after="90"/>
                    <w:ind w:hanging="0" w:start="0" w:end="0"/>
                    <w:jc w:val="start"/>
                    <w:rPr>
                      <w:b/>
                      <w:color w:val="FFFFFF"/>
                    </w:rPr>
                  </w:pPr>
                  <w:r>
                    <w:rPr>
                      <w:b/>
                      <w:color w:val="FFFFFF"/>
                    </w:rPr>
                    <w:t>Claim + Battlecard</w:t>
                    <w:br/>
                  </w:r>
                  <w:r>
                    <w:rPr>
                      <w:b/>
                      <w:color w:val="FFFFFF"/>
                      <w:sz w:val="18"/>
                    </w:rPr>
                    <w:t>Typed synthesis</w:t>
                  </w:r>
                </w:p>
              </w:tc>
            </w:tr>
          </w:tbl>
          <w:p>
            <w:pPr>
              <w:pStyle w:val="TableContents"/>
              <w:bidi w:val="0"/>
              <w:spacing w:before="90" w:after="90"/>
              <w:jc w:val="start"/>
              <w:rPr/>
            </w:pPr>
            <w:r>
              <w:rPr/>
            </w:r>
          </w:p>
        </w:tc>
      </w:tr>
      <w:tr>
        <w:trPr/>
        <w:tc>
          <w:tcPr>
            <w:tcW w:w="6636" w:type="dxa"/>
            <w:tcBorders/>
            <w:tcMar>
              <w:top w:w="28" w:type="dxa"/>
              <w:start w:w="28" w:type="dxa"/>
              <w:bottom w:w="28" w:type="dxa"/>
              <w:end w:w="28" w:type="dxa"/>
            </w:tcMar>
            <w:vAlign w:val="center"/>
          </w:tcPr>
          <w:p>
            <w:pPr>
              <w:pStyle w:val="TableContents"/>
              <w:bidi w:val="0"/>
              <w:spacing w:before="90" w:after="90"/>
              <w:ind w:hanging="0" w:start="0" w:end="0"/>
              <w:jc w:val="start"/>
              <w:rPr>
                <w:sz w:val="4"/>
                <w:szCs w:val="4"/>
              </w:rPr>
            </w:pPr>
            <w:r>
              <w:rPr>
                <w:sz w:val="4"/>
                <w:szCs w:val="4"/>
              </w:rPr>
            </w:r>
          </w:p>
        </w:tc>
      </w:tr>
      <w:tr>
        <w:trPr/>
        <w:tc>
          <w:tcPr>
            <w:tcW w:w="6636" w:type="dxa"/>
            <w:tcBorders/>
            <w:tcMar>
              <w:top w:w="28" w:type="dxa"/>
              <w:start w:w="28" w:type="dxa"/>
              <w:bottom w:w="28" w:type="dxa"/>
              <w:end w:w="28" w:type="dxa"/>
            </w:tcMar>
            <w:vAlign w:val="center"/>
          </w:tcPr>
          <w:p>
            <w:pPr>
              <w:pStyle w:val="TableContents"/>
              <w:bidi w:val="0"/>
              <w:spacing w:before="90" w:after="90"/>
              <w:jc w:val="start"/>
              <w:rPr>
                <w:color w:val="66809B"/>
              </w:rPr>
            </w:pPr>
            <w:r>
              <w:rPr>
                <w:color w:val="66809B"/>
              </w:rPr>
              <w:t>↓</w:t>
            </w:r>
          </w:p>
        </w:tc>
      </w:tr>
      <w:tr>
        <w:trPr/>
        <w:tc>
          <w:tcPr>
            <w:tcW w:w="6636" w:type="dxa"/>
            <w:tcBorders/>
            <w:tcMar>
              <w:top w:w="28" w:type="dxa"/>
              <w:start w:w="28" w:type="dxa"/>
              <w:bottom w:w="28" w:type="dxa"/>
              <w:end w:w="28" w:type="dxa"/>
            </w:tcMar>
            <w:vAlign w:val="center"/>
          </w:tcPr>
          <w:p>
            <w:pPr>
              <w:pStyle w:val="TableContents"/>
              <w:bidi w:val="0"/>
              <w:spacing w:before="90" w:after="90"/>
              <w:ind w:hanging="0" w:start="0" w:end="0"/>
              <w:jc w:val="start"/>
              <w:rPr/>
            </w:pPr>
            <w:r>
              <w:rPr/>
              <w:t>Evidence gate → QA Agent → PostgreSQL persistence</w:t>
            </w:r>
          </w:p>
        </w:tc>
      </w:tr>
      <w:tr>
        <w:trPr/>
        <w:tc>
          <w:tcPr>
            <w:tcW w:w="6636" w:type="dxa"/>
            <w:tcBorders/>
            <w:tcMar>
              <w:top w:w="28" w:type="dxa"/>
              <w:start w:w="28" w:type="dxa"/>
              <w:bottom w:w="28" w:type="dxa"/>
              <w:end w:w="28" w:type="dxa"/>
            </w:tcMar>
            <w:vAlign w:val="center"/>
          </w:tcPr>
          <w:p>
            <w:pPr>
              <w:pStyle w:val="TableContents"/>
              <w:bidi w:val="0"/>
              <w:spacing w:before="90" w:after="90"/>
              <w:ind w:hanging="0" w:start="0" w:end="0"/>
              <w:jc w:val="start"/>
              <w:rPr>
                <w:color w:val="66809B"/>
              </w:rPr>
            </w:pPr>
            <w:r>
              <w:rPr>
                <w:color w:val="66809B"/>
              </w:rPr>
              <w:t>↓</w:t>
            </w:r>
          </w:p>
        </w:tc>
      </w:tr>
      <w:tr>
        <w:trPr/>
        <w:tc>
          <w:tcPr>
            <w:tcW w:w="6636" w:type="dxa"/>
            <w:tcBorders/>
            <w:shd w:fill="1F3A5F" w:val="clear"/>
            <w:vAlign w:val="center"/>
          </w:tcPr>
          <w:p>
            <w:pPr>
              <w:pStyle w:val="TableContents"/>
              <w:bidi w:val="0"/>
              <w:spacing w:before="90" w:after="90"/>
              <w:ind w:hanging="0" w:start="0" w:end="0"/>
              <w:jc w:val="start"/>
              <w:rPr>
                <w:b/>
                <w:color w:val="FFFFFF"/>
              </w:rPr>
            </w:pPr>
            <w:r>
              <w:rPr>
                <w:b/>
                <w:color w:val="FFFFFF"/>
              </w:rPr>
              <w:t>Published seller workspace</w:t>
              <w:br/>
            </w:r>
            <w:r>
              <w:rPr>
                <w:b/>
                <w:color w:val="FFFFFF"/>
                <w:sz w:val="18"/>
              </w:rPr>
              <w:t>Graph · matrix · battlecards · sources · Ask Intellia</w:t>
            </w:r>
          </w:p>
        </w:tc>
      </w:tr>
    </w:tbl>
    <w:p>
      <w:pPr>
        <w:pStyle w:val="Heading2"/>
        <w:bidi w:val="0"/>
        <w:jc w:val="start"/>
        <w:rPr/>
      </w:pPr>
      <w:r>
        <w:rPr/>
        <w:t>4. Agent harness, skills, and tools</w:t>
      </w:r>
    </w:p>
    <w:tbl>
      <w:tblPr>
        <w:tblW w:w="11339" w:type="dxa"/>
        <w:jc w:val="start"/>
        <w:tblInd w:w="0" w:type="dxa"/>
        <w:tblLayout w:type="fixed"/>
        <w:tblCellMar>
          <w:top w:w="28" w:type="dxa"/>
          <w:start w:w="28" w:type="dxa"/>
          <w:bottom w:w="28" w:type="dxa"/>
          <w:end w:w="28" w:type="dxa"/>
        </w:tblCellMar>
      </w:tblPr>
      <w:tblGrid>
        <w:gridCol w:w="2503"/>
        <w:gridCol w:w="5571"/>
        <w:gridCol w:w="3265"/>
      </w:tblGrid>
      <w:tr>
        <w:trPr/>
        <w:tc>
          <w:tcPr>
            <w:tcW w:w="2503" w:type="dxa"/>
            <w:tcBorders/>
            <w:vAlign w:val="center"/>
          </w:tcPr>
          <w:p>
            <w:pPr>
              <w:pStyle w:val="TableHeading"/>
              <w:suppressLineNumbers/>
              <w:shd w:fill="1F3A5F" w:val="clear"/>
              <w:bidi w:val="0"/>
              <w:spacing w:before="90" w:after="90"/>
              <w:jc w:val="start"/>
              <w:rPr/>
            </w:pPr>
            <w:r>
              <w:rPr/>
              <w:t>Component</w:t>
            </w:r>
          </w:p>
        </w:tc>
        <w:tc>
          <w:tcPr>
            <w:tcW w:w="5571" w:type="dxa"/>
            <w:tcBorders/>
            <w:vAlign w:val="center"/>
          </w:tcPr>
          <w:p>
            <w:pPr>
              <w:pStyle w:val="TableHeading"/>
              <w:suppressLineNumbers/>
              <w:shd w:fill="1F3A5F" w:val="clear"/>
              <w:bidi w:val="0"/>
              <w:spacing w:before="90" w:after="90"/>
              <w:jc w:val="start"/>
              <w:rPr/>
            </w:pPr>
            <w:r>
              <w:rPr/>
              <w:t>Purpose</w:t>
            </w:r>
          </w:p>
        </w:tc>
        <w:tc>
          <w:tcPr>
            <w:tcW w:w="3265" w:type="dxa"/>
            <w:tcBorders/>
            <w:vAlign w:val="center"/>
          </w:tcPr>
          <w:p>
            <w:pPr>
              <w:pStyle w:val="TableHeading"/>
              <w:suppressLineNumbers/>
              <w:shd w:fill="1F3A5F" w:val="clear"/>
              <w:bidi w:val="0"/>
              <w:spacing w:before="90" w:after="90"/>
              <w:jc w:val="start"/>
              <w:rPr/>
            </w:pPr>
            <w:r>
              <w:rPr/>
              <w:t>Tools / state</w:t>
            </w:r>
          </w:p>
        </w:tc>
      </w:tr>
      <w:tr>
        <w:trPr/>
        <w:tc>
          <w:tcPr>
            <w:tcW w:w="2503" w:type="dxa"/>
            <w:tcBorders/>
            <w:vAlign w:val="center"/>
          </w:tcPr>
          <w:p>
            <w:pPr>
              <w:pStyle w:val="TableContents"/>
              <w:bidi w:val="0"/>
              <w:spacing w:before="90" w:after="90"/>
              <w:jc w:val="start"/>
              <w:rPr/>
            </w:pPr>
            <w:r>
              <w:rPr/>
              <w:t>Competitor Discovery Agent</w:t>
            </w:r>
          </w:p>
        </w:tc>
        <w:tc>
          <w:tcPr>
            <w:tcW w:w="5571" w:type="dxa"/>
            <w:tcBorders/>
            <w:vAlign w:val="center"/>
          </w:tcPr>
          <w:p>
            <w:pPr>
              <w:pStyle w:val="TableContents"/>
              <w:bidi w:val="0"/>
              <w:spacing w:before="90" w:after="90"/>
              <w:jc w:val="start"/>
              <w:rPr/>
            </w:pPr>
            <w:r>
              <w:rPr/>
              <w:t>Finds direct competitors relevant to the entered company and verifies official sites.</w:t>
            </w:r>
          </w:p>
        </w:tc>
        <w:tc>
          <w:tcPr>
            <w:tcW w:w="3265" w:type="dxa"/>
            <w:tcBorders/>
            <w:vAlign w:val="center"/>
          </w:tcPr>
          <w:p>
            <w:pPr>
              <w:pStyle w:val="TableContents"/>
              <w:bidi w:val="0"/>
              <w:spacing w:before="90" w:after="90"/>
              <w:jc w:val="start"/>
              <w:rPr/>
            </w:pPr>
            <w:r>
              <w:rPr/>
              <w:t>You.com, OpenAI selection, Firecrawl verification</w:t>
            </w:r>
          </w:p>
        </w:tc>
      </w:tr>
      <w:tr>
        <w:trPr/>
        <w:tc>
          <w:tcPr>
            <w:tcW w:w="2503" w:type="dxa"/>
            <w:tcBorders/>
            <w:vAlign w:val="center"/>
          </w:tcPr>
          <w:p>
            <w:pPr>
              <w:pStyle w:val="TableContents"/>
              <w:bidi w:val="0"/>
              <w:spacing w:before="90" w:after="90"/>
              <w:jc w:val="start"/>
              <w:rPr/>
            </w:pPr>
            <w:r>
              <w:rPr/>
              <w:t>Source Collector</w:t>
            </w:r>
          </w:p>
        </w:tc>
        <w:tc>
          <w:tcPr>
            <w:tcW w:w="5571" w:type="dxa"/>
            <w:tcBorders/>
            <w:vAlign w:val="center"/>
          </w:tcPr>
          <w:p>
            <w:pPr>
              <w:pStyle w:val="TableContents"/>
              <w:bidi w:val="0"/>
              <w:spacing w:before="90" w:after="90"/>
              <w:jc w:val="start"/>
              <w:rPr/>
            </w:pPr>
            <w:r>
              <w:rPr/>
              <w:t>Collects broad, seller-relevant external evidence with pacing, retry, caching, and per-lane warnings.</w:t>
            </w:r>
          </w:p>
        </w:tc>
        <w:tc>
          <w:tcPr>
            <w:tcW w:w="3265" w:type="dxa"/>
            <w:tcBorders/>
            <w:vAlign w:val="center"/>
          </w:tcPr>
          <w:p>
            <w:pPr>
              <w:pStyle w:val="TableContents"/>
              <w:bidi w:val="0"/>
              <w:spacing w:before="90" w:after="90"/>
              <w:jc w:val="start"/>
              <w:rPr/>
            </w:pPr>
            <w:r>
              <w:rPr/>
              <w:t>You.com, Firecrawl</w:t>
            </w:r>
          </w:p>
        </w:tc>
      </w:tr>
      <w:tr>
        <w:trPr/>
        <w:tc>
          <w:tcPr>
            <w:tcW w:w="2503" w:type="dxa"/>
            <w:tcBorders/>
            <w:vAlign w:val="center"/>
          </w:tcPr>
          <w:p>
            <w:pPr>
              <w:pStyle w:val="TableContents"/>
              <w:bidi w:val="0"/>
              <w:spacing w:before="90" w:after="90"/>
              <w:jc w:val="start"/>
              <w:rPr/>
            </w:pPr>
            <w:r>
              <w:rPr/>
              <w:t>Deep Research Agent</w:t>
            </w:r>
          </w:p>
        </w:tc>
        <w:tc>
          <w:tcPr>
            <w:tcW w:w="5571" w:type="dxa"/>
            <w:tcBorders/>
            <w:vAlign w:val="center"/>
          </w:tcPr>
          <w:p>
            <w:pPr>
              <w:pStyle w:val="TableContents"/>
              <w:bidi w:val="0"/>
              <w:spacing w:before="90" w:after="90"/>
              <w:jc w:val="start"/>
              <w:rPr/>
            </w:pPr>
            <w:r>
              <w:rPr/>
              <w:t>Fills material gaps with cited public-web research.</w:t>
            </w:r>
          </w:p>
        </w:tc>
        <w:tc>
          <w:tcPr>
            <w:tcW w:w="3265" w:type="dxa"/>
            <w:tcBorders/>
            <w:vAlign w:val="center"/>
          </w:tcPr>
          <w:p>
            <w:pPr>
              <w:pStyle w:val="TableContents"/>
              <w:bidi w:val="0"/>
              <w:spacing w:before="90" w:after="90"/>
              <w:jc w:val="start"/>
              <w:rPr/>
            </w:pPr>
            <w:r>
              <w:rPr/>
              <w:t xml:space="preserve">OpenAI Responses API, </w:t>
            </w:r>
            <w:r>
              <w:rPr>
                <w:rStyle w:val="SourceText"/>
              </w:rPr>
              <w:t>o4-mini-deep-research</w:t>
            </w:r>
          </w:p>
        </w:tc>
      </w:tr>
      <w:tr>
        <w:trPr/>
        <w:tc>
          <w:tcPr>
            <w:tcW w:w="2503" w:type="dxa"/>
            <w:tcBorders/>
            <w:vAlign w:val="center"/>
          </w:tcPr>
          <w:p>
            <w:pPr>
              <w:pStyle w:val="TableContents"/>
              <w:bidi w:val="0"/>
              <w:spacing w:before="90" w:after="90"/>
              <w:jc w:val="start"/>
              <w:rPr/>
            </w:pPr>
            <w:r>
              <w:rPr/>
              <w:t>Claim Extractor and Battlecard Strategist</w:t>
            </w:r>
          </w:p>
        </w:tc>
        <w:tc>
          <w:tcPr>
            <w:tcW w:w="5571" w:type="dxa"/>
            <w:tcBorders/>
            <w:vAlign w:val="center"/>
          </w:tcPr>
          <w:p>
            <w:pPr>
              <w:pStyle w:val="TableContents"/>
              <w:bidi w:val="0"/>
              <w:spacing w:before="90" w:after="90"/>
              <w:jc w:val="start"/>
              <w:rPr/>
            </w:pPr>
            <w:r>
              <w:rPr/>
              <w:t>Uses only supplied evidence to create concise, cited seller guidance.</w:t>
            </w:r>
          </w:p>
        </w:tc>
        <w:tc>
          <w:tcPr>
            <w:tcW w:w="3265" w:type="dxa"/>
            <w:tcBorders/>
            <w:vAlign w:val="center"/>
          </w:tcPr>
          <w:p>
            <w:pPr>
              <w:pStyle w:val="TableContents"/>
              <w:bidi w:val="0"/>
              <w:spacing w:before="90" w:after="90"/>
              <w:jc w:val="start"/>
              <w:rPr/>
            </w:pPr>
            <w:r>
              <w:rPr/>
              <w:t>OpenAI Responses API</w:t>
            </w:r>
          </w:p>
        </w:tc>
      </w:tr>
      <w:tr>
        <w:trPr/>
        <w:tc>
          <w:tcPr>
            <w:tcW w:w="2503" w:type="dxa"/>
            <w:tcBorders/>
            <w:vAlign w:val="center"/>
          </w:tcPr>
          <w:p>
            <w:pPr>
              <w:pStyle w:val="TableContents"/>
              <w:bidi w:val="0"/>
              <w:spacing w:before="90" w:after="90"/>
              <w:jc w:val="start"/>
              <w:rPr/>
            </w:pPr>
            <w:r>
              <w:rPr/>
              <w:t>QA Agent</w:t>
            </w:r>
          </w:p>
        </w:tc>
        <w:tc>
          <w:tcPr>
            <w:tcW w:w="5571" w:type="dxa"/>
            <w:tcBorders/>
            <w:vAlign w:val="center"/>
          </w:tcPr>
          <w:p>
            <w:pPr>
              <w:pStyle w:val="TableContents"/>
              <w:bidi w:val="0"/>
              <w:spacing w:before="90" w:after="90"/>
              <w:jc w:val="start"/>
              <w:rPr/>
            </w:pPr>
            <w:r>
              <w:rPr/>
              <w:t>Applies a 100-point rubric across evidence, authority, attribution, usefulness, usability, and regional proof.</w:t>
            </w:r>
          </w:p>
        </w:tc>
        <w:tc>
          <w:tcPr>
            <w:tcW w:w="3265" w:type="dxa"/>
            <w:tcBorders/>
            <w:vAlign w:val="center"/>
          </w:tcPr>
          <w:p>
            <w:pPr>
              <w:pStyle w:val="TableContents"/>
              <w:bidi w:val="0"/>
              <w:spacing w:before="90" w:after="90"/>
              <w:jc w:val="start"/>
              <w:rPr/>
            </w:pPr>
            <w:r>
              <w:rPr/>
              <w:t>Deterministic TypeScript rubric</w:t>
            </w:r>
          </w:p>
        </w:tc>
      </w:tr>
      <w:tr>
        <w:trPr/>
        <w:tc>
          <w:tcPr>
            <w:tcW w:w="2503" w:type="dxa"/>
            <w:tcBorders/>
            <w:vAlign w:val="center"/>
          </w:tcPr>
          <w:p>
            <w:pPr>
              <w:pStyle w:val="TableContents"/>
              <w:bidi w:val="0"/>
              <w:spacing w:before="90" w:after="90"/>
              <w:jc w:val="start"/>
              <w:rPr/>
            </w:pPr>
            <w:r>
              <w:rPr/>
              <w:t>Persistence and publication</w:t>
            </w:r>
          </w:p>
        </w:tc>
        <w:tc>
          <w:tcPr>
            <w:tcW w:w="5571" w:type="dxa"/>
            <w:tcBorders/>
            <w:vAlign w:val="center"/>
          </w:tcPr>
          <w:p>
            <w:pPr>
              <w:pStyle w:val="TableContents"/>
              <w:bidi w:val="0"/>
              <w:spacing w:before="90" w:after="90"/>
              <w:jc w:val="start"/>
              <w:rPr/>
            </w:pPr>
            <w:r>
              <w:rPr/>
              <w:t>Stores runs, sources, claims, snapshots, locks, and rate-limit state; publishes completed runs asynchronously.</w:t>
            </w:r>
          </w:p>
        </w:tc>
        <w:tc>
          <w:tcPr>
            <w:tcW w:w="3265" w:type="dxa"/>
            <w:tcBorders/>
            <w:vAlign w:val="center"/>
          </w:tcPr>
          <w:p>
            <w:pPr>
              <w:pStyle w:val="TableContents"/>
              <w:bidi w:val="0"/>
              <w:spacing w:before="90" w:after="90"/>
              <w:jc w:val="start"/>
              <w:rPr/>
            </w:pPr>
            <w:r>
              <w:rPr/>
              <w:t>PostgreSQL, Drizzle, Railway</w:t>
            </w:r>
          </w:p>
        </w:tc>
      </w:tr>
      <w:tr>
        <w:trPr/>
        <w:tc>
          <w:tcPr>
            <w:tcW w:w="2503" w:type="dxa"/>
            <w:tcBorders/>
            <w:vAlign w:val="center"/>
          </w:tcPr>
          <w:p>
            <w:pPr>
              <w:pStyle w:val="TableContents"/>
              <w:bidi w:val="0"/>
              <w:spacing w:before="90" w:after="90"/>
              <w:jc w:val="start"/>
              <w:rPr/>
            </w:pPr>
            <w:r>
              <w:rPr/>
              <w:t>Ask Intellia</w:t>
            </w:r>
          </w:p>
        </w:tc>
        <w:tc>
          <w:tcPr>
            <w:tcW w:w="5571" w:type="dxa"/>
            <w:tcBorders/>
            <w:vAlign w:val="center"/>
          </w:tcPr>
          <w:p>
            <w:pPr>
              <w:pStyle w:val="TableContents"/>
              <w:bidi w:val="0"/>
              <w:spacing w:before="90" w:after="90"/>
              <w:jc w:val="start"/>
              <w:rPr/>
            </w:pPr>
            <w:r>
              <w:rPr/>
              <w:t>Answers questions from the active verified run and links sources.</w:t>
            </w:r>
          </w:p>
        </w:tc>
        <w:tc>
          <w:tcPr>
            <w:tcW w:w="3265" w:type="dxa"/>
            <w:tcBorders/>
            <w:vAlign w:val="center"/>
          </w:tcPr>
          <w:p>
            <w:pPr>
              <w:pStyle w:val="TableContents"/>
              <w:bidi w:val="0"/>
              <w:spacing w:before="90" w:after="90"/>
              <w:jc w:val="start"/>
              <w:rPr/>
            </w:pPr>
            <w:r>
              <w:rPr/>
              <w:t>OpenAI Responses API + stored run context</w:t>
            </w:r>
          </w:p>
        </w:tc>
      </w:tr>
    </w:tbl>
    <w:p>
      <w:pPr>
        <w:pStyle w:val="Heading2"/>
        <w:bidi w:val="0"/>
        <w:jc w:val="start"/>
        <w:rPr/>
      </w:pPr>
      <w:r>
        <w:rPr/>
        <w:t>5. Quality, safety, and reliability controls</w:t>
      </w:r>
    </w:p>
    <w:tbl>
      <w:tblPr>
        <w:tblW w:w="11339" w:type="dxa"/>
        <w:jc w:val="start"/>
        <w:tblInd w:w="0" w:type="dxa"/>
        <w:tblLayout w:type="fixed"/>
        <w:tblCellMar>
          <w:top w:w="28" w:type="dxa"/>
          <w:start w:w="28" w:type="dxa"/>
          <w:bottom w:w="28" w:type="dxa"/>
          <w:end w:w="28" w:type="dxa"/>
        </w:tblCellMar>
      </w:tblPr>
      <w:tblGrid>
        <w:gridCol w:w="1881"/>
        <w:gridCol w:w="9458"/>
      </w:tblGrid>
      <w:tr>
        <w:trPr/>
        <w:tc>
          <w:tcPr>
            <w:tcW w:w="1881" w:type="dxa"/>
            <w:tcBorders/>
            <w:vAlign w:val="center"/>
          </w:tcPr>
          <w:p>
            <w:pPr>
              <w:pStyle w:val="TableHeading"/>
              <w:suppressLineNumbers/>
              <w:shd w:fill="1F3A5F" w:val="clear"/>
              <w:bidi w:val="0"/>
              <w:spacing w:before="90" w:after="90"/>
              <w:jc w:val="start"/>
              <w:rPr/>
            </w:pPr>
            <w:r>
              <w:rPr/>
              <w:t>Control</w:t>
            </w:r>
          </w:p>
        </w:tc>
        <w:tc>
          <w:tcPr>
            <w:tcW w:w="9458" w:type="dxa"/>
            <w:tcBorders/>
            <w:vAlign w:val="center"/>
          </w:tcPr>
          <w:p>
            <w:pPr>
              <w:pStyle w:val="TableHeading"/>
              <w:suppressLineNumbers/>
              <w:shd w:fill="1F3A5F" w:val="clear"/>
              <w:bidi w:val="0"/>
              <w:spacing w:before="90" w:after="90"/>
              <w:jc w:val="start"/>
              <w:rPr/>
            </w:pPr>
            <w:r>
              <w:rPr/>
              <w:t>Production behavior</w:t>
            </w:r>
          </w:p>
        </w:tc>
      </w:tr>
      <w:tr>
        <w:trPr/>
        <w:tc>
          <w:tcPr>
            <w:tcW w:w="1881" w:type="dxa"/>
            <w:tcBorders/>
            <w:vAlign w:val="center"/>
          </w:tcPr>
          <w:p>
            <w:pPr>
              <w:pStyle w:val="TableContents"/>
              <w:bidi w:val="0"/>
              <w:spacing w:before="90" w:after="90"/>
              <w:jc w:val="start"/>
              <w:rPr/>
            </w:pPr>
            <w:r>
              <w:rPr/>
              <w:t>Discovery quality</w:t>
            </w:r>
          </w:p>
        </w:tc>
        <w:tc>
          <w:tcPr>
            <w:tcW w:w="9458" w:type="dxa"/>
            <w:tcBorders/>
            <w:vAlign w:val="center"/>
          </w:tcPr>
          <w:p>
            <w:pPr>
              <w:pStyle w:val="TableContents"/>
              <w:bidi w:val="0"/>
              <w:spacing w:before="90" w:after="90"/>
              <w:jc w:val="start"/>
              <w:rPr/>
            </w:pPr>
            <w:r>
              <w:rPr/>
              <w:t>Requires cited search evidence, a non-directory official-looking domain, and retrieved homepage brand confirmation.</w:t>
            </w:r>
          </w:p>
        </w:tc>
      </w:tr>
      <w:tr>
        <w:trPr/>
        <w:tc>
          <w:tcPr>
            <w:tcW w:w="1881" w:type="dxa"/>
            <w:tcBorders/>
            <w:vAlign w:val="center"/>
          </w:tcPr>
          <w:p>
            <w:pPr>
              <w:pStyle w:val="TableContents"/>
              <w:bidi w:val="0"/>
              <w:spacing w:before="90" w:after="90"/>
              <w:jc w:val="start"/>
              <w:rPr/>
            </w:pPr>
            <w:r>
              <w:rPr/>
              <w:t>Evidence gate</w:t>
            </w:r>
          </w:p>
        </w:tc>
        <w:tc>
          <w:tcPr>
            <w:tcW w:w="9458" w:type="dxa"/>
            <w:tcBorders/>
            <w:vAlign w:val="center"/>
          </w:tcPr>
          <w:p>
            <w:pPr>
              <w:pStyle w:val="TableContents"/>
              <w:bidi w:val="0"/>
              <w:spacing w:before="90" w:after="90"/>
              <w:jc w:val="start"/>
              <w:rPr/>
            </w:pPr>
            <w:r>
              <w:rPr/>
              <w:t>Requires focal and competitor evidence, at least six distinct substantive sources, three source types, and regional evidence.</w:t>
            </w:r>
          </w:p>
        </w:tc>
      </w:tr>
      <w:tr>
        <w:trPr/>
        <w:tc>
          <w:tcPr>
            <w:tcW w:w="1881" w:type="dxa"/>
            <w:tcBorders/>
            <w:vAlign w:val="center"/>
          </w:tcPr>
          <w:p>
            <w:pPr>
              <w:pStyle w:val="TableContents"/>
              <w:bidi w:val="0"/>
              <w:spacing w:before="90" w:after="90"/>
              <w:jc w:val="start"/>
              <w:rPr/>
            </w:pPr>
            <w:r>
              <w:rPr/>
              <w:t>Deep research quality</w:t>
            </w:r>
          </w:p>
        </w:tc>
        <w:tc>
          <w:tcPr>
            <w:tcW w:w="9458" w:type="dxa"/>
            <w:tcBorders/>
            <w:vAlign w:val="center"/>
          </w:tcPr>
          <w:p>
            <w:pPr>
              <w:pStyle w:val="TableContents"/>
              <w:bidi w:val="0"/>
              <w:spacing w:before="90" w:after="90"/>
              <w:jc w:val="start"/>
              <w:rPr/>
            </w:pPr>
            <w:r>
              <w:rPr/>
              <w:t>Requires at least two returned URL citations; uncited output is excluded.</w:t>
            </w:r>
          </w:p>
        </w:tc>
      </w:tr>
      <w:tr>
        <w:trPr/>
        <w:tc>
          <w:tcPr>
            <w:tcW w:w="1881" w:type="dxa"/>
            <w:tcBorders/>
            <w:vAlign w:val="center"/>
          </w:tcPr>
          <w:p>
            <w:pPr>
              <w:pStyle w:val="TableContents"/>
              <w:bidi w:val="0"/>
              <w:spacing w:before="90" w:after="90"/>
              <w:jc w:val="start"/>
              <w:rPr/>
            </w:pPr>
            <w:r>
              <w:rPr/>
              <w:t>Claim integrity</w:t>
            </w:r>
          </w:p>
        </w:tc>
        <w:tc>
          <w:tcPr>
            <w:tcW w:w="9458" w:type="dxa"/>
            <w:tcBorders/>
            <w:vAlign w:val="center"/>
          </w:tcPr>
          <w:p>
            <w:pPr>
              <w:pStyle w:val="TableContents"/>
              <w:bidi w:val="0"/>
              <w:spacing w:before="90" w:after="90"/>
              <w:jc w:val="start"/>
              <w:rPr/>
            </w:pPr>
            <w:r>
              <w:rPr/>
              <w:t>Extraction is constrained to supplied evidence; each claim must reference a collected source ID.</w:t>
            </w:r>
          </w:p>
        </w:tc>
      </w:tr>
      <w:tr>
        <w:trPr/>
        <w:tc>
          <w:tcPr>
            <w:tcW w:w="1881" w:type="dxa"/>
            <w:tcBorders/>
            <w:vAlign w:val="center"/>
          </w:tcPr>
          <w:p>
            <w:pPr>
              <w:pStyle w:val="TableContents"/>
              <w:bidi w:val="0"/>
              <w:spacing w:before="90" w:after="90"/>
              <w:jc w:val="start"/>
              <w:rPr/>
            </w:pPr>
            <w:r>
              <w:rPr/>
              <w:t>QA rubric</w:t>
            </w:r>
          </w:p>
        </w:tc>
        <w:tc>
          <w:tcPr>
            <w:tcW w:w="9458" w:type="dxa"/>
            <w:tcBorders/>
            <w:vAlign w:val="center"/>
          </w:tcPr>
          <w:p>
            <w:pPr>
              <w:pStyle w:val="TableContents"/>
              <w:bidi w:val="0"/>
              <w:spacing w:before="90" w:after="90"/>
              <w:jc w:val="start"/>
              <w:rPr/>
            </w:pPr>
            <w:r>
              <w:rPr/>
              <w:t>Scores 0–100 across evidence depth/diversity/authority, claim attribution, seller usefulness, and usability. Publication requires 70+ with no blocking issue.</w:t>
            </w:r>
          </w:p>
        </w:tc>
      </w:tr>
      <w:tr>
        <w:trPr/>
        <w:tc>
          <w:tcPr>
            <w:tcW w:w="1881" w:type="dxa"/>
            <w:tcBorders/>
            <w:vAlign w:val="center"/>
          </w:tcPr>
          <w:p>
            <w:pPr>
              <w:pStyle w:val="TableContents"/>
              <w:bidi w:val="0"/>
              <w:spacing w:before="90" w:after="90"/>
              <w:jc w:val="start"/>
              <w:rPr/>
            </w:pPr>
            <w:r>
              <w:rPr/>
              <w:t>Provider resilience</w:t>
            </w:r>
          </w:p>
        </w:tc>
        <w:tc>
          <w:tcPr>
            <w:tcW w:w="9458" w:type="dxa"/>
            <w:tcBorders/>
            <w:vAlign w:val="center"/>
          </w:tcPr>
          <w:p>
            <w:pPr>
              <w:pStyle w:val="TableContents"/>
              <w:bidi w:val="0"/>
              <w:spacing w:before="90" w:after="90"/>
              <w:jc w:val="start"/>
              <w:rPr/>
            </w:pPr>
            <w:r>
              <w:rPr/>
              <w:t xml:space="preserve">Firecrawl is globally paced for the configured plan, honors </w:t>
            </w:r>
            <w:r>
              <w:rPr>
                <w:rStyle w:val="SourceText"/>
              </w:rPr>
              <w:t>Retry-After</w:t>
            </w:r>
            <w:r>
              <w:rPr/>
              <w:t>, and retries documented transient failures with jitter.</w:t>
            </w:r>
          </w:p>
        </w:tc>
      </w:tr>
      <w:tr>
        <w:trPr/>
        <w:tc>
          <w:tcPr>
            <w:tcW w:w="1881" w:type="dxa"/>
            <w:tcBorders/>
            <w:vAlign w:val="center"/>
          </w:tcPr>
          <w:p>
            <w:pPr>
              <w:pStyle w:val="TableContents"/>
              <w:bidi w:val="0"/>
              <w:spacing w:before="90" w:after="90"/>
              <w:jc w:val="start"/>
              <w:rPr/>
            </w:pPr>
            <w:r>
              <w:rPr/>
              <w:t>Operational behavior</w:t>
            </w:r>
          </w:p>
        </w:tc>
        <w:tc>
          <w:tcPr>
            <w:tcW w:w="9458" w:type="dxa"/>
            <w:tcBorders/>
            <w:vAlign w:val="center"/>
          </w:tcPr>
          <w:p>
            <w:pPr>
              <w:pStyle w:val="TableContents"/>
              <w:bidi w:val="0"/>
              <w:spacing w:before="90" w:after="90"/>
              <w:jc w:val="start"/>
              <w:rPr/>
            </w:pPr>
            <w:r>
              <w:rPr/>
              <w:t>Interactive requests return immediately as collecting; the always-on service finishes the run, persists it, and the UI reloads the completed result.</w:t>
            </w:r>
          </w:p>
        </w:tc>
      </w:tr>
    </w:tbl>
    <w:p>
      <w:pPr>
        <w:pStyle w:val="Heading2"/>
        <w:bidi w:val="0"/>
        <w:jc w:val="start"/>
        <w:rPr/>
      </w:pPr>
      <w:r>
        <w:rPr/>
        <w:t>6. Technology stack and rationale</w:t>
      </w:r>
    </w:p>
    <w:tbl>
      <w:tblPr>
        <w:tblW w:w="11339" w:type="dxa"/>
        <w:jc w:val="start"/>
        <w:tblInd w:w="0" w:type="dxa"/>
        <w:tblLayout w:type="fixed"/>
        <w:tblCellMar>
          <w:top w:w="28" w:type="dxa"/>
          <w:start w:w="28" w:type="dxa"/>
          <w:bottom w:w="28" w:type="dxa"/>
          <w:end w:w="28" w:type="dxa"/>
        </w:tblCellMar>
      </w:tblPr>
      <w:tblGrid>
        <w:gridCol w:w="1776"/>
        <w:gridCol w:w="2206"/>
        <w:gridCol w:w="7357"/>
      </w:tblGrid>
      <w:tr>
        <w:trPr/>
        <w:tc>
          <w:tcPr>
            <w:tcW w:w="1776" w:type="dxa"/>
            <w:tcBorders/>
            <w:vAlign w:val="center"/>
          </w:tcPr>
          <w:p>
            <w:pPr>
              <w:pStyle w:val="TableHeading"/>
              <w:suppressLineNumbers/>
              <w:shd w:fill="1F3A5F" w:val="clear"/>
              <w:bidi w:val="0"/>
              <w:spacing w:before="90" w:after="90"/>
              <w:jc w:val="start"/>
              <w:rPr/>
            </w:pPr>
            <w:r>
              <w:rPr/>
              <w:t>Layer</w:t>
            </w:r>
          </w:p>
        </w:tc>
        <w:tc>
          <w:tcPr>
            <w:tcW w:w="2206" w:type="dxa"/>
            <w:tcBorders/>
            <w:vAlign w:val="center"/>
          </w:tcPr>
          <w:p>
            <w:pPr>
              <w:pStyle w:val="TableHeading"/>
              <w:suppressLineNumbers/>
              <w:shd w:fill="1F3A5F" w:val="clear"/>
              <w:bidi w:val="0"/>
              <w:spacing w:before="90" w:after="90"/>
              <w:jc w:val="start"/>
              <w:rPr/>
            </w:pPr>
            <w:r>
              <w:rPr/>
              <w:t>Technology</w:t>
            </w:r>
          </w:p>
        </w:tc>
        <w:tc>
          <w:tcPr>
            <w:tcW w:w="7357" w:type="dxa"/>
            <w:tcBorders/>
            <w:vAlign w:val="center"/>
          </w:tcPr>
          <w:p>
            <w:pPr>
              <w:pStyle w:val="TableHeading"/>
              <w:suppressLineNumbers/>
              <w:shd w:fill="1F3A5F" w:val="clear"/>
              <w:bidi w:val="0"/>
              <w:spacing w:before="90" w:after="90"/>
              <w:jc w:val="start"/>
              <w:rPr/>
            </w:pPr>
            <w:r>
              <w:rPr/>
              <w:t>Why selected</w:t>
            </w:r>
          </w:p>
        </w:tc>
      </w:tr>
      <w:tr>
        <w:trPr/>
        <w:tc>
          <w:tcPr>
            <w:tcW w:w="1776" w:type="dxa"/>
            <w:tcBorders/>
            <w:vAlign w:val="center"/>
          </w:tcPr>
          <w:p>
            <w:pPr>
              <w:pStyle w:val="TableContents"/>
              <w:bidi w:val="0"/>
              <w:spacing w:before="90" w:after="90"/>
              <w:jc w:val="start"/>
              <w:rPr/>
            </w:pPr>
            <w:r>
              <w:rPr/>
              <w:t>End-to-end application</w:t>
            </w:r>
          </w:p>
        </w:tc>
        <w:tc>
          <w:tcPr>
            <w:tcW w:w="2206" w:type="dxa"/>
            <w:tcBorders/>
            <w:vAlign w:val="center"/>
          </w:tcPr>
          <w:p>
            <w:pPr>
              <w:pStyle w:val="TableContents"/>
              <w:bidi w:val="0"/>
              <w:spacing w:before="90" w:after="90"/>
              <w:jc w:val="start"/>
              <w:rPr/>
            </w:pPr>
            <w:r>
              <w:rPr/>
              <w:t>TypeScript, Next.js 15, React 19</w:t>
            </w:r>
          </w:p>
        </w:tc>
        <w:tc>
          <w:tcPr>
            <w:tcW w:w="7357" w:type="dxa"/>
            <w:tcBorders/>
            <w:vAlign w:val="center"/>
          </w:tcPr>
          <w:p>
            <w:pPr>
              <w:pStyle w:val="TableContents"/>
              <w:bidi w:val="0"/>
              <w:spacing w:before="90" w:after="90"/>
              <w:jc w:val="start"/>
              <w:rPr/>
            </w:pPr>
            <w:r>
              <w:rPr/>
              <w:t>One typed language for UI, APIs, orchestration, validation, and deployment. Shared contracts reduce integration errors and keep secrets server-side.</w:t>
            </w:r>
          </w:p>
        </w:tc>
      </w:tr>
      <w:tr>
        <w:trPr/>
        <w:tc>
          <w:tcPr>
            <w:tcW w:w="1776" w:type="dxa"/>
            <w:tcBorders/>
            <w:vAlign w:val="center"/>
          </w:tcPr>
          <w:p>
            <w:pPr>
              <w:pStyle w:val="TableContents"/>
              <w:bidi w:val="0"/>
              <w:spacing w:before="90" w:after="90"/>
              <w:jc w:val="start"/>
              <w:rPr/>
            </w:pPr>
            <w:r>
              <w:rPr/>
              <w:t>Seller experience</w:t>
            </w:r>
          </w:p>
        </w:tc>
        <w:tc>
          <w:tcPr>
            <w:tcW w:w="2206" w:type="dxa"/>
            <w:tcBorders/>
            <w:vAlign w:val="center"/>
          </w:tcPr>
          <w:p>
            <w:pPr>
              <w:pStyle w:val="TableContents"/>
              <w:bidi w:val="0"/>
              <w:spacing w:before="90" w:after="90"/>
              <w:jc w:val="start"/>
              <w:rPr/>
            </w:pPr>
            <w:r>
              <w:rPr/>
              <w:t>Tailwind CSS, React Flow</w:t>
            </w:r>
          </w:p>
        </w:tc>
        <w:tc>
          <w:tcPr>
            <w:tcW w:w="7357" w:type="dxa"/>
            <w:tcBorders/>
            <w:vAlign w:val="center"/>
          </w:tcPr>
          <w:p>
            <w:pPr>
              <w:pStyle w:val="TableContents"/>
              <w:bidi w:val="0"/>
              <w:spacing w:before="90" w:after="90"/>
              <w:jc w:val="start"/>
              <w:rPr/>
            </w:pPr>
            <w:r>
              <w:rPr/>
              <w:t>Fast responsive UI and an interactive, readable competitive signal graph with unread evidence indicators.</w:t>
            </w:r>
          </w:p>
        </w:tc>
      </w:tr>
      <w:tr>
        <w:trPr/>
        <w:tc>
          <w:tcPr>
            <w:tcW w:w="1776" w:type="dxa"/>
            <w:tcBorders/>
            <w:vAlign w:val="center"/>
          </w:tcPr>
          <w:p>
            <w:pPr>
              <w:pStyle w:val="TableContents"/>
              <w:bidi w:val="0"/>
              <w:spacing w:before="90" w:after="90"/>
              <w:jc w:val="start"/>
              <w:rPr/>
            </w:pPr>
            <w:r>
              <w:rPr/>
              <w:t>Agent orchestration</w:t>
            </w:r>
          </w:p>
        </w:tc>
        <w:tc>
          <w:tcPr>
            <w:tcW w:w="2206" w:type="dxa"/>
            <w:tcBorders/>
            <w:vAlign w:val="center"/>
          </w:tcPr>
          <w:p>
            <w:pPr>
              <w:pStyle w:val="TableContents"/>
              <w:bidi w:val="0"/>
              <w:spacing w:before="90" w:after="90"/>
              <w:jc w:val="start"/>
              <w:rPr/>
            </w:pPr>
            <w:r>
              <w:rPr/>
              <w:t>Custom TypeScript modules</w:t>
            </w:r>
          </w:p>
        </w:tc>
        <w:tc>
          <w:tcPr>
            <w:tcW w:w="7357" w:type="dxa"/>
            <w:tcBorders/>
            <w:vAlign w:val="center"/>
          </w:tcPr>
          <w:p>
            <w:pPr>
              <w:pStyle w:val="TableContents"/>
              <w:bidi w:val="0"/>
              <w:spacing w:before="90" w:after="90"/>
              <w:jc w:val="start"/>
              <w:rPr/>
            </w:pPr>
            <w:r>
              <w:rPr/>
              <w:t>The workflow is bounded and evidence-first, so explicit code paths, typed handoffs, and deterministic gates are easier to inspect and test than a free-form agent graph.</w:t>
            </w:r>
          </w:p>
        </w:tc>
      </w:tr>
      <w:tr>
        <w:trPr/>
        <w:tc>
          <w:tcPr>
            <w:tcW w:w="1776" w:type="dxa"/>
            <w:tcBorders/>
            <w:vAlign w:val="center"/>
          </w:tcPr>
          <w:p>
            <w:pPr>
              <w:pStyle w:val="TableContents"/>
              <w:bidi w:val="0"/>
              <w:spacing w:before="90" w:after="90"/>
              <w:jc w:val="start"/>
              <w:rPr/>
            </w:pPr>
            <w:r>
              <w:rPr/>
              <w:t>Search and retrieval</w:t>
            </w:r>
          </w:p>
        </w:tc>
        <w:tc>
          <w:tcPr>
            <w:tcW w:w="2206" w:type="dxa"/>
            <w:tcBorders/>
            <w:vAlign w:val="center"/>
          </w:tcPr>
          <w:p>
            <w:pPr>
              <w:pStyle w:val="TableContents"/>
              <w:bidi w:val="0"/>
              <w:spacing w:before="90" w:after="90"/>
              <w:jc w:val="start"/>
              <w:rPr/>
            </w:pPr>
            <w:r>
              <w:rPr/>
              <w:t>You.com Search API, Firecrawl</w:t>
            </w:r>
          </w:p>
        </w:tc>
        <w:tc>
          <w:tcPr>
            <w:tcW w:w="7357" w:type="dxa"/>
            <w:tcBorders/>
            <w:vAlign w:val="center"/>
          </w:tcPr>
          <w:p>
            <w:pPr>
              <w:pStyle w:val="TableContents"/>
              <w:bidi w:val="0"/>
              <w:spacing w:before="90" w:after="90"/>
              <w:jc w:val="start"/>
              <w:rPr/>
            </w:pPr>
            <w:r>
              <w:rPr/>
              <w:t>Live company-specific discovery plus clean public-page extraction for the evidence ledger.</w:t>
            </w:r>
          </w:p>
        </w:tc>
      </w:tr>
      <w:tr>
        <w:trPr/>
        <w:tc>
          <w:tcPr>
            <w:tcW w:w="1776" w:type="dxa"/>
            <w:tcBorders/>
            <w:vAlign w:val="center"/>
          </w:tcPr>
          <w:p>
            <w:pPr>
              <w:pStyle w:val="TableContents"/>
              <w:bidi w:val="0"/>
              <w:spacing w:before="90" w:after="90"/>
              <w:jc w:val="start"/>
              <w:rPr/>
            </w:pPr>
            <w:r>
              <w:rPr/>
              <w:t>Reasoning</w:t>
            </w:r>
          </w:p>
        </w:tc>
        <w:tc>
          <w:tcPr>
            <w:tcW w:w="2206" w:type="dxa"/>
            <w:tcBorders/>
            <w:vAlign w:val="center"/>
          </w:tcPr>
          <w:p>
            <w:pPr>
              <w:pStyle w:val="TableContents"/>
              <w:bidi w:val="0"/>
              <w:spacing w:before="90" w:after="90"/>
              <w:jc w:val="start"/>
              <w:rPr/>
            </w:pPr>
            <w:r>
              <w:rPr/>
              <w:t>OpenAI Responses API</w:t>
            </w:r>
          </w:p>
        </w:tc>
        <w:tc>
          <w:tcPr>
            <w:tcW w:w="7357" w:type="dxa"/>
            <w:tcBorders/>
            <w:vAlign w:val="center"/>
          </w:tcPr>
          <w:p>
            <w:pPr>
              <w:pStyle w:val="TableContents"/>
              <w:bidi w:val="0"/>
              <w:spacing w:before="90" w:after="90"/>
              <w:jc w:val="start"/>
              <w:rPr/>
            </w:pPr>
            <w:r>
              <w:rPr/>
              <w:t>Constrained claim extraction, grounded Q&amp;A, and optional cited deep research in one provider API.</w:t>
            </w:r>
          </w:p>
        </w:tc>
      </w:tr>
      <w:tr>
        <w:trPr/>
        <w:tc>
          <w:tcPr>
            <w:tcW w:w="1776" w:type="dxa"/>
            <w:tcBorders/>
            <w:vAlign w:val="center"/>
          </w:tcPr>
          <w:p>
            <w:pPr>
              <w:pStyle w:val="TableContents"/>
              <w:bidi w:val="0"/>
              <w:spacing w:before="90" w:after="90"/>
              <w:jc w:val="start"/>
              <w:rPr/>
            </w:pPr>
            <w:r>
              <w:rPr/>
              <w:t>Data and control state</w:t>
            </w:r>
          </w:p>
        </w:tc>
        <w:tc>
          <w:tcPr>
            <w:tcW w:w="2206" w:type="dxa"/>
            <w:tcBorders/>
            <w:vAlign w:val="center"/>
          </w:tcPr>
          <w:p>
            <w:pPr>
              <w:pStyle w:val="TableContents"/>
              <w:bidi w:val="0"/>
              <w:spacing w:before="90" w:after="90"/>
              <w:jc w:val="start"/>
              <w:rPr/>
            </w:pPr>
            <w:r>
              <w:rPr/>
              <w:t>Railway PostgreSQL, Drizzle ORM</w:t>
            </w:r>
          </w:p>
        </w:tc>
        <w:tc>
          <w:tcPr>
            <w:tcW w:w="7357" w:type="dxa"/>
            <w:tcBorders/>
            <w:vAlign w:val="center"/>
          </w:tcPr>
          <w:p>
            <w:pPr>
              <w:pStyle w:val="TableContents"/>
              <w:bidi w:val="0"/>
              <w:spacing w:before="90" w:after="90"/>
              <w:jc w:val="start"/>
              <w:rPr/>
            </w:pPr>
            <w:r>
              <w:rPr/>
              <w:t>Durable run, source, claim, lock, and rate-limit records with typed data access.</w:t>
            </w:r>
          </w:p>
        </w:tc>
      </w:tr>
      <w:tr>
        <w:trPr/>
        <w:tc>
          <w:tcPr>
            <w:tcW w:w="1776" w:type="dxa"/>
            <w:tcBorders/>
            <w:vAlign w:val="center"/>
          </w:tcPr>
          <w:p>
            <w:pPr>
              <w:pStyle w:val="TableContents"/>
              <w:bidi w:val="0"/>
              <w:spacing w:before="90" w:after="90"/>
              <w:jc w:val="start"/>
              <w:rPr/>
            </w:pPr>
            <w:r>
              <w:rPr/>
              <w:t>Hosting</w:t>
            </w:r>
          </w:p>
        </w:tc>
        <w:tc>
          <w:tcPr>
            <w:tcW w:w="2206" w:type="dxa"/>
            <w:tcBorders/>
            <w:vAlign w:val="center"/>
          </w:tcPr>
          <w:p>
            <w:pPr>
              <w:pStyle w:val="TableContents"/>
              <w:bidi w:val="0"/>
              <w:spacing w:before="90" w:after="90"/>
              <w:jc w:val="start"/>
              <w:rPr/>
            </w:pPr>
            <w:r>
              <w:rPr/>
              <w:t>Railway</w:t>
            </w:r>
          </w:p>
        </w:tc>
        <w:tc>
          <w:tcPr>
            <w:tcW w:w="7357" w:type="dxa"/>
            <w:tcBorders/>
            <w:vAlign w:val="center"/>
          </w:tcPr>
          <w:p>
            <w:pPr>
              <w:pStyle w:val="TableContents"/>
              <w:bidi w:val="0"/>
              <w:spacing w:before="90" w:after="90"/>
              <w:jc w:val="start"/>
              <w:rPr/>
            </w:pPr>
            <w:r>
              <w:rPr/>
              <w:t>Managed container deployment, environment variables, health checks, public domain, and managed PostgreSQL.</w:t>
            </w:r>
          </w:p>
        </w:tc>
      </w:tr>
    </w:tbl>
    <w:p>
      <w:pPr>
        <w:pStyle w:val="BodyText"/>
        <w:bidi w:val="0"/>
        <w:spacing w:before="150" w:after="150"/>
        <w:ind w:hanging="0" w:start="150" w:end="150"/>
        <w:jc w:val="start"/>
        <w:rPr/>
      </w:pPr>
      <w:r>
        <w:rPr>
          <w:rStyle w:val="Strong"/>
          <w:bdr w:val="single" w:sz="24" w:space="10" w:color="3D7D6A"/>
          <w:shd w:fill="EDF5F2" w:val="clear"/>
        </w:rPr>
        <w:t>Why not n8n, LangGraph, or Python?</w:t>
      </w:r>
      <w:r>
        <w:rPr>
          <w:bdr w:val="single" w:sz="24" w:space="10" w:color="3D7D6A"/>
          <w:shd w:fill="EDF5F2" w:val="clear"/>
        </w:rPr>
        <w:t xml:space="preserve"> n8n is excellent for simple integration automation but is not the best fit for this custom interactive product and evidence model. LangGraph is valuable for larger dynamic state graphs, but Intellia’s bounded pipeline is more transparent as typed application code. Python is strong for data science; here it would split the web product stack without a material advantage. The architecture can add a worker queue, Python analytics, or a graph framework later if scale warrants it.</w:t>
      </w:r>
    </w:p>
    <w:p>
      <w:pPr>
        <w:pStyle w:val="Heading2"/>
        <w:bidi w:val="0"/>
        <w:jc w:val="start"/>
        <w:rPr/>
      </w:pPr>
      <w:r>
        <w:rPr/>
        <w:t>7. Production validation</w:t>
      </w:r>
    </w:p>
    <w:tbl>
      <w:tblPr>
        <w:tblW w:w="11339" w:type="dxa"/>
        <w:jc w:val="start"/>
        <w:tblInd w:w="0" w:type="dxa"/>
        <w:tblLayout w:type="fixed"/>
        <w:tblCellMar>
          <w:top w:w="28" w:type="dxa"/>
          <w:start w:w="28" w:type="dxa"/>
          <w:bottom w:w="28" w:type="dxa"/>
          <w:end w:w="28" w:type="dxa"/>
        </w:tblCellMar>
      </w:tblPr>
      <w:tblGrid>
        <w:gridCol w:w="1722"/>
        <w:gridCol w:w="9617"/>
      </w:tblGrid>
      <w:tr>
        <w:trPr/>
        <w:tc>
          <w:tcPr>
            <w:tcW w:w="1722" w:type="dxa"/>
            <w:tcBorders/>
            <w:vAlign w:val="center"/>
          </w:tcPr>
          <w:p>
            <w:pPr>
              <w:pStyle w:val="TableHeading"/>
              <w:suppressLineNumbers/>
              <w:shd w:fill="1F3A5F" w:val="clear"/>
              <w:bidi w:val="0"/>
              <w:spacing w:before="90" w:after="90"/>
              <w:jc w:val="start"/>
              <w:rPr/>
            </w:pPr>
            <w:r>
              <w:rPr/>
              <w:t>Validation</w:t>
            </w:r>
          </w:p>
        </w:tc>
        <w:tc>
          <w:tcPr>
            <w:tcW w:w="9617" w:type="dxa"/>
            <w:tcBorders/>
            <w:vAlign w:val="center"/>
          </w:tcPr>
          <w:p>
            <w:pPr>
              <w:pStyle w:val="TableHeading"/>
              <w:suppressLineNumbers/>
              <w:shd w:fill="1F3A5F" w:val="clear"/>
              <w:bidi w:val="0"/>
              <w:spacing w:before="90" w:after="90"/>
              <w:jc w:val="start"/>
              <w:rPr/>
            </w:pPr>
            <w:r>
              <w:rPr/>
              <w:t>Result</w:t>
            </w:r>
          </w:p>
        </w:tc>
      </w:tr>
      <w:tr>
        <w:trPr/>
        <w:tc>
          <w:tcPr>
            <w:tcW w:w="1722" w:type="dxa"/>
            <w:tcBorders/>
            <w:vAlign w:val="center"/>
          </w:tcPr>
          <w:p>
            <w:pPr>
              <w:pStyle w:val="TableContents"/>
              <w:bidi w:val="0"/>
              <w:spacing w:before="90" w:after="90"/>
              <w:jc w:val="start"/>
              <w:rPr/>
            </w:pPr>
            <w:r>
              <w:rPr/>
              <w:t>Static checks</w:t>
            </w:r>
          </w:p>
        </w:tc>
        <w:tc>
          <w:tcPr>
            <w:tcW w:w="9617" w:type="dxa"/>
            <w:tcBorders/>
            <w:vAlign w:val="center"/>
          </w:tcPr>
          <w:p>
            <w:pPr>
              <w:pStyle w:val="TableContents"/>
              <w:bidi w:val="0"/>
              <w:spacing w:before="90" w:after="90"/>
              <w:jc w:val="start"/>
              <w:rPr/>
            </w:pPr>
            <w:r>
              <w:rPr>
                <w:rStyle w:val="Strong"/>
              </w:rPr>
              <w:t>Passed:</w:t>
            </w:r>
            <w:r>
              <w:rPr/>
              <w:t xml:space="preserve"> TypeScript type-check, automated QA/evidence tests, optimized Next.js production build, and GitHub Actions CI.</w:t>
            </w:r>
          </w:p>
        </w:tc>
      </w:tr>
      <w:tr>
        <w:trPr/>
        <w:tc>
          <w:tcPr>
            <w:tcW w:w="1722" w:type="dxa"/>
            <w:tcBorders/>
            <w:vAlign w:val="center"/>
          </w:tcPr>
          <w:p>
            <w:pPr>
              <w:pStyle w:val="TableContents"/>
              <w:bidi w:val="0"/>
              <w:spacing w:before="90" w:after="90"/>
              <w:jc w:val="start"/>
              <w:rPr/>
            </w:pPr>
            <w:r>
              <w:rPr/>
              <w:t>Live Cority run</w:t>
            </w:r>
          </w:p>
        </w:tc>
        <w:tc>
          <w:tcPr>
            <w:tcW w:w="9617" w:type="dxa"/>
            <w:tcBorders/>
            <w:vAlign w:val="center"/>
          </w:tcPr>
          <w:p>
            <w:pPr>
              <w:pStyle w:val="TableContents"/>
              <w:bidi w:val="0"/>
              <w:spacing w:before="90" w:after="90"/>
              <w:jc w:val="start"/>
              <w:rPr/>
            </w:pPr>
            <w:r>
              <w:rPr>
                <w:rStyle w:val="Strong"/>
              </w:rPr>
              <w:t>Passed:</w:t>
            </w:r>
            <w:r>
              <w:rPr/>
              <w:t xml:space="preserve"> real public-web run with 10 verified competitors, persisted as live research.</w:t>
            </w:r>
          </w:p>
        </w:tc>
      </w:tr>
      <w:tr>
        <w:trPr/>
        <w:tc>
          <w:tcPr>
            <w:tcW w:w="1722" w:type="dxa"/>
            <w:tcBorders/>
            <w:vAlign w:val="center"/>
          </w:tcPr>
          <w:p>
            <w:pPr>
              <w:pStyle w:val="TableContents"/>
              <w:bidi w:val="0"/>
              <w:spacing w:before="90" w:after="90"/>
              <w:jc w:val="start"/>
              <w:rPr/>
            </w:pPr>
            <w:r>
              <w:rPr/>
              <w:t>Live evidence coverage</w:t>
            </w:r>
          </w:p>
        </w:tc>
        <w:tc>
          <w:tcPr>
            <w:tcW w:w="9617" w:type="dxa"/>
            <w:tcBorders/>
            <w:vAlign w:val="center"/>
          </w:tcPr>
          <w:p>
            <w:pPr>
              <w:pStyle w:val="TableContents"/>
              <w:bidi w:val="0"/>
              <w:spacing w:before="90" w:after="90"/>
              <w:jc w:val="start"/>
              <w:rPr/>
            </w:pPr>
            <w:r>
              <w:rPr/>
              <w:t>17–21 evidence items per competitor; 10 completed battlecards including Intelex, Benchmark Gensuite, Enablon, Quentic, ETQ, Vector Solutions, Safesite, EcoVadis, HSI Donesafe, and SiteDocs.</w:t>
            </w:r>
          </w:p>
        </w:tc>
      </w:tr>
      <w:tr>
        <w:trPr/>
        <w:tc>
          <w:tcPr>
            <w:tcW w:w="1722" w:type="dxa"/>
            <w:tcBorders/>
            <w:vAlign w:val="center"/>
          </w:tcPr>
          <w:p>
            <w:pPr>
              <w:pStyle w:val="TableContents"/>
              <w:bidi w:val="0"/>
              <w:spacing w:before="90" w:after="90"/>
              <w:jc w:val="start"/>
              <w:rPr/>
            </w:pPr>
            <w:r>
              <w:rPr/>
              <w:t>Seller controls</w:t>
            </w:r>
          </w:p>
        </w:tc>
        <w:tc>
          <w:tcPr>
            <w:tcW w:w="9617" w:type="dxa"/>
            <w:tcBorders/>
            <w:vAlign w:val="center"/>
          </w:tcPr>
          <w:p>
            <w:pPr>
              <w:pStyle w:val="TableContents"/>
              <w:bidi w:val="0"/>
              <w:spacing w:before="90" w:after="90"/>
              <w:jc w:val="start"/>
              <w:rPr/>
            </w:pPr>
            <w:r>
              <w:rPr/>
              <w:t>Source traces, evidence matrix, regional context, new-signal read state, and Ask Intellia are available in the production workspace.</w:t>
            </w:r>
          </w:p>
        </w:tc>
      </w:tr>
    </w:tbl>
    <w:p>
      <w:pPr>
        <w:pStyle w:val="Heading2"/>
        <w:bidi w:val="0"/>
        <w:jc w:val="start"/>
        <w:rPr/>
      </w:pPr>
      <w:r>
        <w:rPr/>
        <w:t>8. Human handoff and success measure</w:t>
      </w:r>
    </w:p>
    <w:p>
      <w:pPr>
        <w:pStyle w:val="BodyText"/>
        <w:bidi w:val="0"/>
        <w:jc w:val="start"/>
        <w:rPr/>
      </w:pPr>
      <w:r>
        <w:rPr/>
        <w:t>Intellia is read-only and evidence-led. Sellers retain judgment before using positioning or claims in a deal; every output exposes source links and caveats. The system does not send messages, modify customer systems, make purchases, delete records, or externally publish information.</w:t>
      </w:r>
    </w:p>
    <w:p>
      <w:pPr>
        <w:pStyle w:val="BodyText"/>
        <w:bidi w:val="0"/>
        <w:spacing w:before="90" w:after="90"/>
        <w:jc w:val="start"/>
        <w:rPr/>
      </w:pPr>
      <w:r>
        <w:rPr>
          <w:rStyle w:val="Strong"/>
        </w:rPr>
        <w:t>Success measure:</w:t>
      </w:r>
      <w:r>
        <w:rPr/>
        <w:t xml:space="preserve"> a seller can produce a reviewable, company-specific competitive brief for a live market set in one run, with evidence, quality checks, and source traceability rather than unsupported assertions.</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Menlo">
    <w:altName w:val="Consolas"/>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CA"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Helvetica;sans-serif" w:hAnsi="Arial;Helvetica;sans-serif" w:eastAsia="Arial;Helvetica;sans-serif" w:cs="Arial;Helvetica;sans-serif"/>
      <w:color w:val="17223B"/>
      <w:sz w:val="21"/>
      <w:szCs w:val="21"/>
      <w:lang w:val="en-CA" w:eastAsia="zh-CN" w:bidi="hi-IN"/>
    </w:rPr>
  </w:style>
  <w:style w:type="paragraph" w:styleId="Heading1">
    <w:name w:val="heading 1"/>
    <w:basedOn w:val="Heading"/>
    <w:next w:val="BodyText"/>
    <w:qFormat/>
    <w:pPr/>
    <w:rPr>
      <w:b/>
      <w:bCs/>
      <w:color w:val="1F3A5F"/>
      <w:sz w:val="60"/>
      <w:szCs w:val="60"/>
    </w:rPr>
  </w:style>
  <w:style w:type="paragraph" w:styleId="Heading2">
    <w:name w:val="heading 2"/>
    <w:basedOn w:val="Heading"/>
    <w:next w:val="BodyText"/>
    <w:qFormat/>
    <w:pPr>
      <w:pBdr>
        <w:bottom w:val="single" w:sz="12" w:space="3" w:color="D8E2EE"/>
      </w:pBdr>
      <w:spacing w:before="375" w:after="120"/>
      <w:ind w:start="375" w:end="375"/>
      <w:outlineLvl w:val="1"/>
    </w:pPr>
    <w:rPr>
      <w:rFonts w:ascii="Liberation Serif" w:hAnsi="Liberation Serif" w:eastAsia="Songti SC" w:cs="Arial Unicode MS"/>
      <w:b/>
      <w:bCs/>
      <w:color w:val="1F3A5F"/>
      <w:sz w:val="34"/>
      <w:szCs w:val="3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315D84"/>
      <w:u w:val="single"/>
    </w:rPr>
  </w:style>
  <w:style w:type="character" w:styleId="SourceText">
    <w:name w:val="Source Text"/>
    <w:qFormat/>
    <w:rPr>
      <w:rFonts w:ascii="Menlo;Consolas;monospace" w:hAnsi="Menlo;Consolas;monospace" w:eastAsia="Menlo;Consolas;monospace" w:cs="Menlo;Consolas;monospace"/>
      <w:sz w:val="17"/>
      <w:szCs w:val="17"/>
      <w:shd w:fill="EEF2F6" w:val="clear"/>
    </w:rPr>
  </w:style>
  <w:style w:type="character" w:styleId="Strong">
    <w:name w:val="Strong"/>
    <w:qFormat/>
    <w:rPr>
      <w:b/>
      <w:bCs/>
    </w:rPr>
  </w:style>
  <w:style w:type="character" w:styleId="FollowedHyperlink">
    <w:name w:val="FollowedHyperlink"/>
    <w:rPr>
      <w:color w:val="315D84"/>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90" w:after="90"/>
      <w:ind w:start="90" w:end="9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eyebrow">
    <w:name w:val="Body Text.eyebrow"/>
    <w:basedOn w:val="BodyText"/>
    <w:qFormat/>
    <w:pPr/>
    <w:rPr>
      <w:b/>
      <w:bCs/>
      <w:caps/>
      <w:color w:val="66809B"/>
      <w:spacing w:val="15"/>
      <w:sz w:val="16"/>
      <w:szCs w:val="16"/>
    </w:rPr>
  </w:style>
  <w:style w:type="paragraph" w:styleId="BodyTextsubtitle">
    <w:name w:val="Body Text.subtitle"/>
    <w:basedOn w:val="BodyText"/>
    <w:qFormat/>
    <w:pPr>
      <w:spacing w:before="150" w:after="90"/>
    </w:pPr>
    <w:rPr>
      <w:color w:val="56657D"/>
      <w:sz w:val="32"/>
      <w:szCs w:val="32"/>
    </w:rPr>
  </w:style>
  <w:style w:type="paragraph" w:styleId="TableHeading">
    <w:name w:val="Table Heading"/>
    <w:basedOn w:val="TableContents"/>
    <w:qFormat/>
    <w:pPr>
      <w:suppressLineNumbers/>
      <w:shd w:fill="1F3A5F" w:val="clear"/>
      <w:jc w:val="start"/>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tellia-competitive-intel-production.up.railway.app/research" TargetMode="External"/><Relationship Id="rId3" Type="http://schemas.openxmlformats.org/officeDocument/2006/relationships/hyperlink" Target="https://github.com/ak-55-lab/intellia-competitive-intel"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cp:revision>0</cp:revision>
  <dc:subject/>
  <dc:title>Intellia — Final Project Document</dc:title>
</cp:coreProperties>
</file>

<file path=docProps/custom.xml><?xml version="1.0" encoding="utf-8"?>
<Properties xmlns="http://schemas.openxmlformats.org/officeDocument/2006/custom-properties" xmlns:vt="http://schemas.openxmlformats.org/officeDocument/2006/docPropsVTypes"/>
</file>