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Kheedma Academy</w:t>
      </w:r>
    </w:p>
    <w:p>
      <w:pPr>
        <w:pBdr>
          <w:bottom w:val="single" w:color="f59c26" w:sz="18" w:space="4"/>
        </w:pBdr>
        <w:spacing w:after="60"/>
      </w:pPr>
      <w:r>
        <w:rPr>
          <w:rFonts w:ascii="Montserrat" w:cs="Montserrat" w:eastAsia="Montserrat" w:hAnsi="Montserrat"/>
          <w:b/>
          <w:bCs/>
          <w:color w:val="dc5a27"/>
          <w:sz w:val="28"/>
          <w:szCs w:val="28"/>
        </w:rPr>
        <w:t xml:space="preserve">Version 1 — Concept &amp; Plan</w:t>
      </w:r>
    </w:p>
    <w:p>
      <w:pPr>
        <w:spacing w:after="40" w:before="160"/>
      </w:pPr>
      <w:r>
        <w:rPr>
          <w:i/>
          <w:iCs/>
          <w:color w:val="44443f"/>
        </w:rPr>
        <w:t xml:space="preserve">Working document for review. Not final until scope and the open decisions below are confirmed.</w:t>
      </w:r>
    </w:p>
    <w:p>
      <w:pPr>
        <w:spacing w:after="160"/>
      </w:pPr>
      <w:r>
        <w:t xml:space="preserve"/>
      </w:r>
    </w:p>
    <w:p>
      <w:pPr>
        <w:pStyle w:val="Heading1"/>
        <w:pBdr>
          <w:bottom w:val="single" w:color="01534f" w:sz="12" w:space="3"/>
        </w:pBdr>
      </w:pPr>
      <w:r>
        <w:t xml:space="preserve">1. Purpose of this document</w:t>
      </w:r>
    </w:p>
    <w:p>
      <w:pPr>
        <w:spacing w:after="140" w:line="300"/>
      </w:pPr>
      <w:r>
        <w:t xml:space="preserve">A single reference describing what Kheedma Academy v1 is, what it deliberately excludes, the data foundation it must have from day one, the decisions that must be made before building, and the brand rules it must follow. It is the main direction, not a frozen list of every implementation detail — smaller needs will be added iteratively during development.</w:t>
      </w:r>
    </w:p>
    <w:p>
      <w:pPr>
        <w:pStyle w:val="Heading1"/>
        <w:pBdr>
          <w:bottom w:val="single" w:color="01534f" w:sz="12" w:space="3"/>
        </w:pBdr>
      </w:pPr>
      <w:r>
        <w:t xml:space="preserve">2. What v1 is</w:t>
      </w:r>
    </w:p>
    <w:p>
      <w:pPr>
        <w:spacing w:after="140" w:line="300"/>
      </w:pPr>
      <w:r>
        <w:t xml:space="preserve">A public marketing site plus a private admin system. The marketing site promotes the Academy, tells the Kheedma story, and routes serious applicants into a single application form. The admin system captures every person, application, cohort, and outcome in a proper relational database from day one.</w:t>
      </w:r>
    </w:p>
    <w:p>
      <w:pPr>
        <w:spacing w:after="140" w:line="300"/>
      </w:pPr>
      <w:r>
        <w:t xml:space="preserve">The program itself runs operationally simple — mentoring, monitoring, and selection happen manually (WhatsApp, calls, video, working notes). But the record of who applied, who joined, how many times, and what happened lives in the system as the source of truth. The admin system is therefore a write-heavy operational tool used throughout the cohort, not a passive dashboard for viewing it after the fact.</w:t>
      </w:r>
    </w:p>
    <w:p>
      <w:pPr>
        <w:pStyle w:val="Heading1"/>
        <w:pBdr>
          <w:bottom w:val="single" w:color="01534f" w:sz="12" w:space="3"/>
        </w:pBdr>
      </w:pPr>
      <w:r>
        <w:t xml:space="preserve">3. What v1 deliberately excludes</w:t>
      </w:r>
    </w:p>
    <w:p>
      <w:pPr>
        <w:spacing w:after="140" w:line="300"/>
      </w:pPr>
      <w:r>
        <w:t xml:space="preserve">The following are out of scope for v1 because none is needed to run or record the first cohort, and each one's real requirements will only be understood after a real cohort exists. Building them now means building against guesses.</w:t>
      </w:r>
    </w:p>
    <w:p>
      <w:pPr>
        <w:pStyle w:val="ListParagraph"/>
        <w:numPr>
          <w:ilvl w:val="0"/>
          <w:numId w:val="2"/>
        </w:numPr>
        <w:spacing w:after="70" w:line="290"/>
      </w:pPr>
      <w:r>
        <w:t xml:space="preserve">a participant-facing dashboard</w:t>
      </w:r>
    </w:p>
    <w:p>
      <w:pPr>
        <w:pStyle w:val="ListParagraph"/>
        <w:numPr>
          <w:ilvl w:val="0"/>
          <w:numId w:val="2"/>
        </w:numPr>
        <w:spacing w:after="70" w:line="290"/>
      </w:pPr>
      <w:r>
        <w:t xml:space="preserve">mentor / teacher self-upload tooling</w:t>
      </w:r>
    </w:p>
    <w:p>
      <w:pPr>
        <w:pStyle w:val="ListParagraph"/>
        <w:numPr>
          <w:ilvl w:val="0"/>
          <w:numId w:val="2"/>
        </w:numPr>
        <w:spacing w:after="70" w:line="290"/>
      </w:pPr>
      <w:r>
        <w:t xml:space="preserve">payment-gateway integration</w:t>
      </w:r>
    </w:p>
    <w:p>
      <w:pPr>
        <w:pStyle w:val="ListParagraph"/>
        <w:numPr>
          <w:ilvl w:val="0"/>
          <w:numId w:val="2"/>
        </w:numPr>
        <w:spacing w:after="70" w:line="290"/>
      </w:pPr>
      <w:r>
        <w:t xml:space="preserve">learning-content delivery (a full LMS)</w:t>
      </w:r>
    </w:p>
    <w:p>
      <w:pPr>
        <w:pStyle w:val="ListParagraph"/>
        <w:numPr>
          <w:ilvl w:val="0"/>
          <w:numId w:val="2"/>
        </w:numPr>
        <w:spacing w:after="70" w:line="290"/>
      </w:pPr>
      <w:r>
        <w:t xml:space="preserve">progress-tracking UI</w:t>
      </w:r>
    </w:p>
    <w:p>
      <w:pPr>
        <w:pStyle w:val="ListParagraph"/>
        <w:numPr>
          <w:ilvl w:val="0"/>
          <w:numId w:val="2"/>
        </w:numPr>
        <w:spacing w:after="70" w:line="290"/>
      </w:pPr>
      <w:r>
        <w:t xml:space="preserve">any AI features</w:t>
      </w:r>
    </w:p>
    <w:p>
      <w:pPr>
        <w:pStyle w:val="Heading1"/>
        <w:pBdr>
          <w:bottom w:val="single" w:color="01534f" w:sz="12" w:space="3"/>
        </w:pBdr>
      </w:pPr>
      <w:r>
        <w:t xml:space="preserve">4. Target audience &amp; operating model</w:t>
      </w:r>
    </w:p>
    <w:p>
      <w:pPr>
        <w:spacing w:after="140" w:line="300"/>
      </w:pPr>
      <w:r>
        <w:t xml:space="preserve">Primary audience: complete beginners who want to grow into capable affiliate marketers. Intake is open, followed by a time-boxed observation period of one to two months with materials and progress review, after which the genuinely committed continue and the rest are not recommended onward — making the program progressively selective.</w:t>
      </w:r>
    </w:p>
    <w:p>
      <w:pPr>
        <w:pStyle w:val="Heading2"/>
      </w:pPr>
      <w:r>
        <w:t xml:space="preserve">4.1 Cohort 1 runs free — as a measured experiment (decided)</w:t>
      </w:r>
    </w:p>
    <w:p>
      <w:pPr>
        <w:spacing w:after="140" w:line="300"/>
      </w:pPr>
      <w:r>
        <w:t xml:space="preserve">Cohort 1 will run free, framed internally as a time-boxed experiment that is monitored throughout — not a permanent pricing position. Keeping the observation period free is deliberate: it keeps the revenue-share path open, because the Academy is not charging for the learning period.</w:t>
      </w:r>
    </w:p>
    <w:p>
      <w:pPr>
        <w:spacing w:after="140" w:line="300"/>
      </w:pPr>
      <w:r>
        <w:rPr>
          <w:b/>
          <w:bCs/>
          <w:color w:val="01534f"/>
        </w:rPr>
        <w:t xml:space="preserve">Non-monetary pre-filter. </w:t>
      </w:r>
      <w:r>
        <w:t xml:space="preserve">To stop the team from burning observation time on empty volume, every applicant must submit a small application task before they can be accepted. This filters for commitment without charging money, so it does not collapse the monetization decision into front-payment.</w:t>
      </w:r>
    </w:p>
    <w:p>
      <w:pPr>
        <w:spacing w:after="80" w:line="300"/>
      </w:pPr>
      <w:r>
        <w:rPr>
          <w:b/>
          <w:bCs/>
          <w:color w:val="01534f"/>
        </w:rPr>
        <w:t xml:space="preserve">Success metrics for the experiment (define the target before launch):</w:t>
      </w:r>
    </w:p>
    <w:p>
      <w:pPr>
        <w:pStyle w:val="ListParagraph"/>
        <w:numPr>
          <w:ilvl w:val="0"/>
          <w:numId w:val="2"/>
        </w:numPr>
        <w:spacing w:after="70" w:line="290"/>
      </w:pPr>
      <w:r>
        <w:t xml:space="preserve">what percentage of accepted participants stay to the end of the observation period</w:t>
      </w:r>
    </w:p>
    <w:p>
      <w:pPr>
        <w:pStyle w:val="ListParagraph"/>
        <w:numPr>
          <w:ilvl w:val="0"/>
          <w:numId w:val="2"/>
        </w:numPr>
        <w:spacing w:after="70" w:line="290"/>
      </w:pPr>
      <w:r>
        <w:t xml:space="preserve">how many participants produce real, attributable affiliate sales</w:t>
      </w:r>
    </w:p>
    <w:p>
      <w:pPr>
        <w:pStyle w:val="ListParagraph"/>
        <w:numPr>
          <w:ilvl w:val="0"/>
          <w:numId w:val="2"/>
        </w:numPr>
        <w:spacing w:after="70" w:line="290"/>
      </w:pPr>
      <w:r>
        <w:t xml:space="preserve">drop-off shape — when and why people leave</w:t>
      </w:r>
    </w:p>
    <w:p>
      <w:pPr>
        <w:spacing w:after="60"/>
      </w:pPr>
      <w:r>
        <w:t xml:space="preserve"/>
      </w:r>
    </w:p>
    <w:p>
      <w:pPr>
        <w:pStyle w:val="Heading2"/>
      </w:pPr>
      <w:r>
        <w:t xml:space="preserve">4.2 Two working principles</w:t>
      </w:r>
    </w:p>
    <w:tbl>
      <w:tblPr>
        <w:tblW w:type="dxa" w:w="9360"/>
        <w:tblBorders>
          <w:top w:val="single" w:color="E1F5EE" w:sz="1"/>
          <w:left w:val="single" w:color="f59c26" w:sz="24"/>
          <w:bottom w:val="single" w:color="E1F5EE" w:sz="1"/>
          <w:right w:val="single" w:color="E1F5EE" w:sz="1"/>
          <w:insideH w:val="single" w:color="E1F5EE" w:sz="1"/>
          <w:insideV w:val="single" w:color="E1F5EE" w:sz="1"/>
        </w:tblBorders>
      </w:tblPr>
      <w:tblGrid>
        <w:gridCol w:w="9360"/>
      </w:tblGrid>
      <w:tr>
        <w:tc>
          <w:tcPr>
            <w:tcW w:type="dxa" w:w="9360"/>
            <w:shd w:fill="E1F5EE" w:val="clear"/>
            <w:tcMar>
              <w:top w:type="dxa" w:w="120"/>
              <w:left w:type="dxa" w:w="200"/>
              <w:bottom w:type="dxa" w:w="120"/>
              <w:right w:type="dxa" w:w="200"/>
            </w:tcMar>
          </w:tcPr>
          <w:p>
            <w:pPr>
              <w:spacing w:after="60"/>
            </w:pPr>
            <w:r>
              <w:rPr>
                <w:b/>
                <w:bCs/>
                <w:caps/>
                <w:color w:val="05312b"/>
                <w:sz w:val="20"/>
                <w:szCs w:val="20"/>
              </w:rPr>
              <w:t xml:space="preserve">Working principle — funnel vs. filter</w:t>
            </w:r>
          </w:p>
          <w:p>
            <w:pPr>
              <w:spacing w:line="290"/>
            </w:pPr>
            <w:r>
              <w:rPr>
                <w:color w:val="44443f"/>
              </w:rPr>
              <w:t xml:space="preserve">A site built to maximize sign-ups pulls volume; the model then rejects most of that volume after spending team time on it. Team time is the scarcest resource. The non-monetary pre-filter task is the resolution: it thins empty volume before the costly observation period begins.</w:t>
            </w:r>
          </w:p>
        </w:tc>
      </w:tr>
    </w:tbl>
    <w:p>
      <w:pPr>
        <w:spacing w:after="100"/>
      </w:pPr>
      <w:r>
        <w:t xml:space="preserve"/>
      </w:r>
    </w:p>
    <w:tbl>
      <w:tblPr>
        <w:tblW w:type="dxa" w:w="9360"/>
        <w:tblBorders>
          <w:top w:val="single" w:color="E1F5EE" w:sz="1"/>
          <w:left w:val="single" w:color="14786e" w:sz="24"/>
          <w:bottom w:val="single" w:color="E1F5EE" w:sz="1"/>
          <w:right w:val="single" w:color="E1F5EE" w:sz="1"/>
          <w:insideH w:val="single" w:color="E1F5EE" w:sz="1"/>
          <w:insideV w:val="single" w:color="E1F5EE" w:sz="1"/>
        </w:tblBorders>
      </w:tblPr>
      <w:tblGrid>
        <w:gridCol w:w="9360"/>
      </w:tblGrid>
      <w:tr>
        <w:tc>
          <w:tcPr>
            <w:tcW w:type="dxa" w:w="9360"/>
            <w:shd w:fill="E1F5EE" w:val="clear"/>
            <w:tcMar>
              <w:top w:type="dxa" w:w="120"/>
              <w:left w:type="dxa" w:w="200"/>
              <w:bottom w:type="dxa" w:w="120"/>
              <w:right w:type="dxa" w:w="200"/>
            </w:tcMar>
          </w:tcPr>
          <w:p>
            <w:pPr>
              <w:spacing w:after="60"/>
            </w:pPr>
            <w:r>
              <w:rPr>
                <w:b/>
                <w:bCs/>
                <w:caps/>
                <w:color w:val="05312b"/>
                <w:sz w:val="20"/>
                <w:szCs w:val="20"/>
              </w:rPr>
              <w:t xml:space="preserve">Working principle — Agency identity vs. Academy audience</w:t>
            </w:r>
          </w:p>
          <w:p>
            <w:pPr>
              <w:spacing w:line="290"/>
            </w:pPr>
            <w:r>
              <w:rPr>
                <w:color w:val="44443f"/>
              </w:rPr>
              <w:t xml:space="preserve">The brand guideline addresses muslim businesses, UMKM, pesantren, and brand owners — people who hire Kheedma. The Academy addresses individual learners. The visual identity transfers wholesale; the audience-facing message must be adapted. Inherit the visuals, values, colour, and type verbatim; adapt the message from “let us serve your brand” to “we guide you to grow.”</w:t>
            </w:r>
          </w:p>
        </w:tc>
      </w:tr>
    </w:tbl>
    <w:p>
      <w:pPr>
        <w:pStyle w:val="Heading1"/>
        <w:pBdr>
          <w:bottom w:val="single" w:color="01534f" w:sz="12" w:space="3"/>
        </w:pBdr>
      </w:pPr>
      <w:r>
        <w:t xml:space="preserve">5. Business-model status (open)</w:t>
      </w:r>
    </w:p>
    <w:p>
      <w:pPr>
        <w:spacing w:after="140" w:line="300"/>
      </w:pPr>
      <w:r>
        <w:t xml:space="preserve">Monetization is undecided: front payment at application, revenue share on participants' affiliate results, or a combination — exact figures pending research. v1 is being built first deliberately, because the marketing site and the data foundation are needed under every monetization path, so building them now locks in nothing.</w:t>
      </w:r>
    </w:p>
    <w:tbl>
      <w:tblPr>
        <w:tblW w:type="dxa" w:w="9360"/>
        <w:tblBorders>
          <w:top w:val="single" w:color="FAEEDA" w:sz="1"/>
          <w:left w:val="single" w:color="dc5a27" w:sz="24"/>
          <w:bottom w:val="single" w:color="FAEEDA" w:sz="1"/>
          <w:right w:val="single" w:color="FAEEDA" w:sz="1"/>
          <w:insideH w:val="single" w:color="FAEEDA" w:sz="1"/>
          <w:insideV w:val="single" w:color="FAEEDA" w:sz="1"/>
        </w:tblBorders>
      </w:tblPr>
      <w:tblGrid>
        <w:gridCol w:w="9360"/>
      </w:tblGrid>
      <w:tr>
        <w:tc>
          <w:tcPr>
            <w:tcW w:type="dxa" w:w="9360"/>
            <w:shd w:fill="FAEEDA" w:val="clear"/>
            <w:tcMar>
              <w:top w:type="dxa" w:w="120"/>
              <w:left w:type="dxa" w:w="200"/>
              <w:bottom w:type="dxa" w:w="120"/>
              <w:right w:type="dxa" w:w="200"/>
            </w:tcMar>
          </w:tcPr>
          <w:p>
            <w:pPr>
              <w:spacing w:after="60"/>
            </w:pPr>
            <w:r>
              <w:rPr>
                <w:b/>
                <w:bCs/>
                <w:caps/>
                <w:color w:val="05312b"/>
                <w:sz w:val="20"/>
                <w:szCs w:val="20"/>
              </w:rPr>
              <w:t xml:space="preserve">Caveat to carry into the pricing decision</w:t>
            </w:r>
          </w:p>
          <w:p>
            <w:pPr>
              <w:spacing w:line="290"/>
            </w:pPr>
            <w:r>
              <w:rPr>
                <w:color w:val="44443f"/>
              </w:rPr>
              <w:t xml:space="preserve">If the observation period is ever made paid (to filter for commitment), that decision is itself choosing front-payment as part of the model, and it closes the “free funnel, monetize later by revenue share” path. It also turns the application page from a low-friction form into a sales page. Decide it as strategy, not as a UX nudge. Cohort 1's free + pre-filter-task design keeps both paths open.</w:t>
            </w:r>
          </w:p>
        </w:tc>
      </w:tr>
    </w:tbl>
    <w:p>
      <w:pPr>
        <w:pStyle w:val="Heading1"/>
        <w:pBdr>
          <w:bottom w:val="single" w:color="01534f" w:sz="12" w:space="3"/>
        </w:pBdr>
      </w:pPr>
      <w:r>
        <w:t xml:space="preserve">6. The data foundation (the core of v1)</w:t>
      </w:r>
    </w:p>
    <w:p>
      <w:pPr>
        <w:spacing w:after="140" w:line="300"/>
      </w:pPr>
      <w:r>
        <w:t xml:space="preserve">Six entities. This structure is the most important thing to get right now, because it is the expensive-to-change part. The accompanying entity-relationship diagram shows how they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6D3" w:sz="1"/>
              <w:left w:val="single" w:color="C9D6D3" w:sz="1"/>
              <w:bottom w:val="single" w:color="C9D6D3" w:sz="1"/>
              <w:right w:val="single" w:color="C9D6D3" w:sz="1"/>
            </w:tcBorders>
            <w:shd w:fill="01534f" w:val="clear"/>
            <w:tcMar>
              <w:top w:type="dxa" w:w="100"/>
              <w:left w:type="dxa" w:w="140"/>
              <w:bottom w:type="dxa" w:w="100"/>
              <w:right w:type="dxa" w:w="140"/>
            </w:tcMar>
          </w:tcPr>
          <w:p>
            <w:r>
              <w:rPr>
                <w:b/>
                <w:bCs/>
                <w:color w:val="FFFFFF"/>
                <w:sz w:val="20"/>
                <w:szCs w:val="20"/>
              </w:rPr>
              <w:t xml:space="preserve">Entity</w:t>
            </w:r>
          </w:p>
        </w:tc>
        <w:tc>
          <w:tcPr>
            <w:tcW w:type="dxa" w:w="6960"/>
            <w:tcBorders>
              <w:top w:val="single" w:color="C9D6D3" w:sz="1"/>
              <w:left w:val="single" w:color="C9D6D3" w:sz="1"/>
              <w:bottom w:val="single" w:color="C9D6D3" w:sz="1"/>
              <w:right w:val="single" w:color="C9D6D3" w:sz="1"/>
            </w:tcBorders>
            <w:shd w:fill="01534f" w:val="clear"/>
            <w:tcMar>
              <w:top w:type="dxa" w:w="100"/>
              <w:left w:type="dxa" w:w="140"/>
              <w:bottom w:type="dxa" w:w="100"/>
              <w:right w:type="dxa" w:w="140"/>
            </w:tcMar>
          </w:tcPr>
          <w:p>
            <w:r>
              <w:rPr>
                <w:b/>
                <w:bCs/>
                <w:color w:val="FFFFFF"/>
              </w:rPr>
              <w:t xml:space="preserve">What it is and why it exists</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Person</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One durable record per real human, ever, with a stable internal ID. A person has many applications and many enrollments over time. This is what reconnects a returning applicant to their existing history instead of treating them as a stranger. Identity anchor: phone number (see §8).</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Application</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One submission of the form, belonging to one Person. Three applications by the same person = one Person, three Applications. Carries the referral source and the pre-filter task result (see below).</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Cohort / Class</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A real entity with its own ID, name, start and end dates — not a text label. This is what later allows questions like “what was Cohort 3's dropout rate” without string-matching. Carries a reference to one Mentor.</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Mentor</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A thin entity (id, name, contact). A cohort references one mentor; one mentor can lead many cohorts over time. Modelling the mentor as a reference rather than a text name is what keeps “how did this mentor's cohorts perform” analyzable later. May merge into Person if role-based accounts are built; both have stable IDs, so that merge stays clean.</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Enrollment</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The link between a Person and a Cohort once accepted. The same person joining a later cohort creates a second Enrollment. A participation “attempt” lives here.</w:t>
            </w:r>
          </w:p>
        </w:tc>
      </w:tr>
      <w:tr>
        <w:tc>
          <w:tcPr>
            <w:tcW w:type="dxa" w:w="2400"/>
            <w:tcBorders>
              <w:top w:val="single" w:color="C9D6D3" w:sz="1"/>
              <w:left w:val="single" w:color="C9D6D3" w:sz="1"/>
              <w:bottom w:val="single" w:color="C9D6D3" w:sz="1"/>
              <w:right w:val="single" w:color="C9D6D3" w:sz="1"/>
            </w:tcBorders>
            <w:shd w:fill="E1F5EE" w:val="clear"/>
            <w:tcMar>
              <w:top w:type="dxa" w:w="100"/>
              <w:left w:type="dxa" w:w="140"/>
              <w:bottom w:type="dxa" w:w="100"/>
              <w:right w:type="dxa" w:w="140"/>
            </w:tcMar>
          </w:tcPr>
          <w:p>
            <w:r>
              <w:rPr>
                <w:b/>
                <w:bCs/>
                <w:color w:val="05312b"/>
                <w:sz w:val="20"/>
                <w:szCs w:val="20"/>
              </w:rPr>
              <w:t xml:space="preserve">Status Event (log)</w:t>
            </w:r>
          </w:p>
        </w:tc>
        <w:tc>
          <w:tcPr>
            <w:tcW w:type="dxa" w:w="6960"/>
            <w:tcBorders>
              <w:top w:val="single" w:color="C9D6D3" w:sz="1"/>
              <w:left w:val="single" w:color="C9D6D3" w:sz="1"/>
              <w:bottom w:val="single" w:color="C9D6D3" w:sz="1"/>
              <w:right w:val="single" w:color="C9D6D3" w:sz="1"/>
            </w:tcBorders>
            <w:shd w:fill="FFFFFF" w:val="clear"/>
            <w:tcMar>
              <w:top w:type="dxa" w:w="100"/>
              <w:left w:type="dxa" w:w="140"/>
              <w:bottom w:type="dxa" w:w="100"/>
              <w:right w:type="dxa" w:w="140"/>
            </w:tcMar>
          </w:tcPr>
          <w:p>
            <w:r>
              <w:rPr>
                <w:b w:val="false"/>
                <w:bCs w:val="false"/>
                <w:color w:val="44443f"/>
              </w:rPr>
              <w:t xml:space="preserve">An append-only list of transitions (enrollment → status → date → optional note), never a single overwritable status field. One enrollment accumulates: accepted → probation → dropped (reason). This is what delivers the goal of seeing what percentage drop, when, and why, without destroying history.</w:t>
            </w:r>
          </w:p>
        </w:tc>
      </w:tr>
    </w:tbl>
    <w:p>
      <w:pPr>
        <w:spacing w:after="120"/>
      </w:pPr>
      <w:r>
        <w:t xml:space="preserve"/>
      </w:r>
    </w:p>
    <w:p>
      <w:pPr>
        <w:pStyle w:val="Heading2"/>
      </w:pPr>
      <w:r>
        <w:t xml:space="preserve">6.1 Fields that must be captured from day one</w:t>
      </w:r>
    </w:p>
    <w:p>
      <w:pPr>
        <w:pStyle w:val="ListParagraph"/>
        <w:numPr>
          <w:ilvl w:val="0"/>
          <w:numId w:val="2"/>
        </w:numPr>
        <w:spacing w:after="70" w:line="290"/>
      </w:pPr>
      <w:r>
        <w:rPr>
          <w:b/>
          <w:bCs/>
          <w:color w:val="01534f"/>
        </w:rPr>
        <w:t xml:space="preserve">Referral source (how they heard about the Academy) — </w:t>
      </w:r>
      <w:r>
        <w:t xml:space="preserve">on the Application, because it cannot be reconstructed later.</w:t>
      </w:r>
    </w:p>
    <w:p>
      <w:pPr>
        <w:pStyle w:val="ListParagraph"/>
        <w:numPr>
          <w:ilvl w:val="0"/>
          <w:numId w:val="2"/>
        </w:numPr>
        <w:spacing w:after="70" w:line="290"/>
      </w:pPr>
      <w:r>
        <w:rPr>
          <w:b/>
          <w:bCs/>
          <w:color w:val="01534f"/>
        </w:rPr>
        <w:t xml:space="preserve">Pre-filter task result — </w:t>
      </w:r>
      <w:r>
        <w:t xml:space="preserve">store whether it was submitted, a link/reference to the submission, and an admin verdict field. Keep the task content loosely attached (external tool) so the form schema does not assume a format you have not fixed.</w:t>
      </w:r>
    </w:p>
    <w:p>
      <w:pPr>
        <w:pStyle w:val="Heading2"/>
      </w:pPr>
      <w:r>
        <w:t xml:space="preserve">6.2 Boundary notes on the model</w:t>
      </w:r>
    </w:p>
    <w:p>
      <w:pPr>
        <w:pStyle w:val="ListParagraph"/>
        <w:numPr>
          <w:ilvl w:val="0"/>
          <w:numId w:val="2"/>
        </w:numPr>
        <w:spacing w:after="70" w:line="290"/>
      </w:pPr>
      <w:r>
        <w:rPr>
          <w:b/>
          <w:bCs/>
          <w:color w:val="01534f"/>
        </w:rPr>
        <w:t xml:space="preserve">“Reapplied” is not a status — </w:t>
      </w:r>
      <w:r>
        <w:t xml:space="preserve">it is simply the existence of a second Application. Keeping it out of the status list preserves the clean person/application boundary.</w:t>
      </w:r>
    </w:p>
    <w:p>
      <w:pPr>
        <w:pStyle w:val="ListParagraph"/>
        <w:numPr>
          <w:ilvl w:val="0"/>
          <w:numId w:val="2"/>
        </w:numPr>
        <w:spacing w:after="70" w:line="290"/>
      </w:pPr>
      <w:r>
        <w:rPr>
          <w:b/>
          <w:bCs/>
          <w:color w:val="01534f"/>
        </w:rPr>
        <w:t xml:space="preserve">Mentor placement — </w:t>
      </w:r>
      <w:r>
        <w:t xml:space="preserve">if mentoring ever becomes per-participant rather than per-cohort, the mentor reference moves down from Cohort to Enrollment. Cohort is correct for the current one-mentor-per-program starting point.</w:t>
      </w:r>
    </w:p>
    <w:p>
      <w:pPr>
        <w:pStyle w:val="Heading1"/>
        <w:pBdr>
          <w:bottom w:val="single" w:color="01534f" w:sz="12" w:space="3"/>
        </w:pBdr>
      </w:pPr>
      <w:r>
        <w:t xml:space="preserve">7. Admin capability in v1</w:t>
      </w:r>
    </w:p>
    <w:p>
      <w:pPr>
        <w:spacing w:after="140" w:line="300"/>
      </w:pPr>
      <w:r>
        <w:t xml:space="preserve">The admin system is a data-entry tool for running a cohort. It must make recording fast and low-friction, since status updates happen repeatedly throughout the cohort and may be entered on the go.</w:t>
      </w:r>
    </w:p>
    <w:p>
      <w:pPr>
        <w:pStyle w:val="ListParagraph"/>
        <w:numPr>
          <w:ilvl w:val="0"/>
          <w:numId w:val="2"/>
        </w:numPr>
        <w:spacing w:after="70" w:line="290"/>
      </w:pPr>
      <w:r>
        <w:t xml:space="preserve">see and search applicants, and view a person's full cross-attempt history</w:t>
      </w:r>
    </w:p>
    <w:p>
      <w:pPr>
        <w:pStyle w:val="ListParagraph"/>
        <w:numPr>
          <w:ilvl w:val="0"/>
          <w:numId w:val="2"/>
        </w:numPr>
        <w:spacing w:after="70" w:line="290"/>
      </w:pPr>
      <w:r>
        <w:t xml:space="preserve">create cohorts and assign a mentor to each</w:t>
      </w:r>
    </w:p>
    <w:p>
      <w:pPr>
        <w:pStyle w:val="ListParagraph"/>
        <w:numPr>
          <w:ilvl w:val="0"/>
          <w:numId w:val="2"/>
        </w:numPr>
        <w:spacing w:after="70" w:line="290"/>
      </w:pPr>
      <w:r>
        <w:t xml:space="preserve">assign accepted people to a cohort (create an Enrollment)</w:t>
      </w:r>
    </w:p>
    <w:p>
      <w:pPr>
        <w:pStyle w:val="ListParagraph"/>
        <w:numPr>
          <w:ilvl w:val="0"/>
          <w:numId w:val="2"/>
        </w:numPr>
        <w:spacing w:after="70" w:line="290"/>
      </w:pPr>
      <w:r>
        <w:t xml:space="preserve">record status changes over time as append-only Status Events</w:t>
      </w:r>
    </w:p>
    <w:p>
      <w:pPr>
        <w:pStyle w:val="ListParagraph"/>
        <w:numPr>
          <w:ilvl w:val="0"/>
          <w:numId w:val="2"/>
        </w:numPr>
        <w:spacing w:after="70" w:line="290"/>
      </w:pPr>
      <w:r>
        <w:t xml:space="preserve">merge two Person records — load-bearing, not optional; the phone anchor will produce duplicates and this is what keeps the identity model survivable</w:t>
      </w:r>
    </w:p>
    <w:p>
      <w:pPr>
        <w:pStyle w:val="ListParagraph"/>
        <w:numPr>
          <w:ilvl w:val="0"/>
          <w:numId w:val="2"/>
        </w:numPr>
        <w:spacing w:after="70" w:line="290"/>
      </w:pPr>
      <w:r>
        <w:t xml:space="preserve">export all data for analysis</w:t>
      </w:r>
    </w:p>
    <w:p>
      <w:pPr>
        <w:spacing w:after="140" w:line="300"/>
      </w:pPr>
      <w:r>
        <w:rPr>
          <w:i/>
          <w:iCs/>
        </w:rPr>
        <w:t xml:space="preserve">No participant logins, no content delivery, no task-submission infrastructure — the pre-filter task is submitted via an existing external tool and only its result is recorded.</w:t>
      </w:r>
    </w:p>
    <w:p>
      <w:pPr>
        <w:pStyle w:val="Heading1"/>
        <w:pBdr>
          <w:bottom w:val="single" w:color="01534f" w:sz="12" w:space="3"/>
        </w:pBdr>
      </w:pPr>
      <w:r>
        <w:t xml:space="preserve">8. Decisions, by urgency</w:t>
      </w:r>
    </w:p>
    <w:p>
      <w:pPr>
        <w:pStyle w:val="Heading2"/>
      </w:pPr>
      <w:r>
        <w:t xml:space="preserve">Must decide before building (cheap now, rebuild-level expensive later)</w:t>
      </w:r>
    </w:p>
    <w:p>
      <w:pPr>
        <w:pStyle w:val="ListParagraph"/>
        <w:numPr>
          <w:ilvl w:val="0"/>
          <w:numId w:val="2"/>
        </w:numPr>
        <w:spacing w:after="70" w:line="290"/>
      </w:pPr>
      <w:r>
        <w:t xml:space="preserve">Cohort modelled as a real entity — confirmed, non-negotiable.</w:t>
      </w:r>
    </w:p>
    <w:p>
      <w:pPr>
        <w:pStyle w:val="ListParagraph"/>
        <w:numPr>
          <w:ilvl w:val="0"/>
          <w:numId w:val="2"/>
        </w:numPr>
        <w:spacing w:after="70" w:line="290"/>
      </w:pPr>
      <w:r>
        <w:t xml:space="preserve">Status modelled as an append-only log — confirmed, non-negotiable.</w:t>
      </w:r>
    </w:p>
    <w:p>
      <w:pPr>
        <w:pStyle w:val="ListParagraph"/>
        <w:numPr>
          <w:ilvl w:val="0"/>
          <w:numId w:val="2"/>
        </w:numPr>
        <w:spacing w:after="70" w:line="290"/>
      </w:pPr>
      <w:r>
        <w:t xml:space="preserve">Mentor modelled as a thin entity referenced by Cohort — confirmed.</w:t>
      </w:r>
    </w:p>
    <w:p>
      <w:pPr>
        <w:spacing w:after="140" w:line="300"/>
      </w:pPr>
      <w:r>
        <w:rPr>
          <w:b/>
          <w:bCs/>
          <w:color w:val="01534f"/>
        </w:rPr>
        <w:t xml:space="preserve">Identity anchor — </w:t>
      </w:r>
      <w:r>
        <w:t xml:space="preserve">phone number as the primary anchor, with an admin “merge two people” button as the safety valve, and email collected as a required secondary field for communication, notifications, and future login. Phone is high-friction to fake and near-universal, and avoids collecting national ID (KTP), which triggers heavier obligations under Indonesia's PDP law (UU PDP). This decision dictates the form fields — settle it before the form is built.</w:t>
      </w:r>
    </w:p>
    <w:p>
      <w:pPr>
        <w:pStyle w:val="Heading2"/>
      </w:pPr>
      <w:r>
        <w:t xml:space="preserve">Can safely defer (won't cause rebuilds)</w:t>
      </w:r>
    </w:p>
    <w:p>
      <w:pPr>
        <w:pStyle w:val="ListParagraph"/>
        <w:numPr>
          <w:ilvl w:val="0"/>
          <w:numId w:val="2"/>
        </w:numPr>
        <w:spacing w:after="70" w:line="290"/>
      </w:pPr>
      <w:r>
        <w:t xml:space="preserve">Login / authentication method — admin access in v1 can be a simple protected login; participant login is a future-cohort problem and does not touch the data model.</w:t>
      </w:r>
    </w:p>
    <w:p>
      <w:pPr>
        <w:pStyle w:val="ListParagraph"/>
        <w:numPr>
          <w:ilvl w:val="0"/>
          <w:numId w:val="2"/>
        </w:numPr>
        <w:spacing w:after="70" w:line="290"/>
      </w:pPr>
      <w:r>
        <w:t xml:space="preserve">Literal ID-card / credential format.</w:t>
      </w:r>
    </w:p>
    <w:p>
      <w:pPr>
        <w:pStyle w:val="ListParagraph"/>
        <w:numPr>
          <w:ilvl w:val="0"/>
          <w:numId w:val="2"/>
        </w:numPr>
        <w:spacing w:after="70" w:line="290"/>
      </w:pPr>
      <w:r>
        <w:t xml:space="preserve">Exact wording of status labels — the structure (append-only events) is fixed now; the label text is just data and can change freely.</w:t>
      </w:r>
    </w:p>
    <w:p>
      <w:pPr>
        <w:pStyle w:val="Heading1"/>
        <w:pBdr>
          <w:bottom w:val="single" w:color="01534f" w:sz="12" w:space="3"/>
        </w:pBdr>
      </w:pPr>
      <w:r>
        <w:t xml:space="preserve">9. Brand &amp; design direction</w:t>
      </w:r>
    </w:p>
    <w:tbl>
      <w:tblPr>
        <w:tblW w:type="dxa" w:w="9360"/>
        <w:tblBorders>
          <w:top w:val="single" w:color="E1F5EE" w:sz="1"/>
          <w:left w:val="single" w:color="01534f" w:sz="24"/>
          <w:bottom w:val="single" w:color="E1F5EE" w:sz="1"/>
          <w:right w:val="single" w:color="E1F5EE" w:sz="1"/>
          <w:insideH w:val="single" w:color="E1F5EE" w:sz="1"/>
          <w:insideV w:val="single" w:color="E1F5EE" w:sz="1"/>
        </w:tblBorders>
      </w:tblPr>
      <w:tblGrid>
        <w:gridCol w:w="9360"/>
      </w:tblGrid>
      <w:tr>
        <w:tc>
          <w:tcPr>
            <w:tcW w:type="dxa" w:w="9360"/>
            <w:shd w:fill="E1F5EE" w:val="clear"/>
            <w:tcMar>
              <w:top w:type="dxa" w:w="120"/>
              <w:left w:type="dxa" w:w="200"/>
              <w:bottom w:type="dxa" w:w="120"/>
              <w:right w:type="dxa" w:w="200"/>
            </w:tcMar>
          </w:tcPr>
          <w:p>
            <w:pPr>
              <w:spacing w:after="60"/>
            </w:pPr>
            <w:r>
              <w:rPr>
                <w:b/>
                <w:bCs/>
                <w:caps/>
                <w:color w:val="05312b"/>
                <w:sz w:val="20"/>
                <w:szCs w:val="20"/>
              </w:rPr>
              <w:t xml:space="preserve">Source of truth</w:t>
            </w:r>
          </w:p>
          <w:p>
            <w:pPr>
              <w:spacing w:line="290"/>
            </w:pPr>
            <w:r>
              <w:rPr>
                <w:color w:val="44443f"/>
              </w:rPr>
              <w:t xml:space="preserve">Kheedma GSM.pdf (Brand Guidelines / Visualisation 2026) is the required reference for all design decisions. The Academy is not a new brand; it inherits the Kheedma identity and adapts it for an education context.</w:t>
            </w:r>
          </w:p>
        </w:tc>
      </w:tr>
    </w:tbl>
    <w:p>
      <w:pPr>
        <w:spacing w:after="100"/>
      </w:pPr>
      <w:r>
        <w:t xml:space="preserve"/>
      </w:r>
    </w:p>
    <w:p>
      <w:pPr>
        <w:pStyle w:val="Heading2"/>
      </w:pPr>
      <w:r>
        <w:t xml:space="preserve">9.1 Inherit verbatim</w:t>
      </w:r>
    </w:p>
    <w:p>
      <w:pPr>
        <w:pStyle w:val="ListParagraph"/>
        <w:numPr>
          <w:ilvl w:val="0"/>
          <w:numId w:val="2"/>
        </w:numPr>
        <w:spacing w:after="70" w:line="290"/>
      </w:pPr>
      <w:r>
        <w:rPr>
          <w:b/>
          <w:bCs/>
          <w:color w:val="01534f"/>
        </w:rPr>
        <w:t xml:space="preserve">Brand essence — </w:t>
      </w:r>
      <w:r>
        <w:t xml:space="preserve">“Serving with Purpose, Growing with Barakah.” Kheedma as a muslim growth partner, derived from khidmat (خدمة): service, dedication, work as worship — not mere transaction.</w:t>
      </w:r>
    </w:p>
    <w:p>
      <w:pPr>
        <w:pStyle w:val="ListParagraph"/>
        <w:numPr>
          <w:ilvl w:val="0"/>
          <w:numId w:val="2"/>
        </w:numPr>
        <w:spacing w:after="70" w:line="290"/>
      </w:pPr>
      <w:r>
        <w:rPr>
          <w:b/>
          <w:bCs/>
          <w:color w:val="01534f"/>
        </w:rPr>
        <w:t xml:space="preserve">Core values — </w:t>
      </w:r>
      <w:r>
        <w:t xml:space="preserve">Khidmat (service with the intention of worship), Amanah (trustworthiness), Itqan (professional excellence), Barakah (halal &amp; thayyib; blessing and sustainability).</w:t>
      </w:r>
    </w:p>
    <w:p>
      <w:pPr>
        <w:pStyle w:val="ListParagraph"/>
        <w:numPr>
          <w:ilvl w:val="0"/>
          <w:numId w:val="2"/>
        </w:numPr>
        <w:spacing w:after="70" w:line="290"/>
      </w:pPr>
      <w:r>
        <w:rPr>
          <w:b/>
          <w:bCs/>
          <w:color w:val="01534f"/>
        </w:rPr>
        <w:t xml:space="preserve">Tone of voice — </w:t>
      </w:r>
      <w:r>
        <w:t xml:space="preserve">warm and well-mannered (hangat &amp; beradab), professional but not stiff, inspirational with dakwah value, firm in principle (halal, amanah, syar'i).</w:t>
      </w:r>
    </w:p>
    <w:p>
      <w:pPr>
        <w:spacing w:after="60" w:line="300"/>
      </w:pPr>
      <w:r>
        <w:rPr>
          <w:b/>
          <w:bCs/>
          <w:color w:val="01534f"/>
        </w:rPr>
        <w:t xml:space="preserve">Colour system — </w:t>
      </w:r>
      <w:r>
        <w:t xml:space="preserve">teal/green family for trust and foundation, orange for energy and calls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FFFFFF" w:sz="4"/>
              <w:left w:val="single" w:color="FFFFFF" w:sz="4"/>
              <w:bottom w:val="single" w:color="FFFFFF" w:sz="4"/>
              <w:right w:val="single" w:color="FFFFFF" w:sz="4"/>
            </w:tcBorders>
            <w:shd w:fill="14786e" w:val="clear"/>
            <w:tcMar>
              <w:top w:type="dxa" w:w="220"/>
              <w:left w:type="dxa" w:w="80"/>
              <w:bottom w:type="dxa" w:w="220"/>
              <w:right w:type="dxa" w:w="80"/>
            </w:tcMar>
          </w:tcPr>
          <w:p>
            <w:pPr>
              <w:jc w:val="center"/>
            </w:pPr>
            <w:r>
              <w:rPr>
                <w:b/>
                <w:bCs/>
                <w:color w:val="FFFFFF"/>
                <w:sz w:val="16"/>
                <w:szCs w:val="16"/>
              </w:rPr>
              <w:t xml:space="preserve">#14786e</w:t>
            </w:r>
          </w:p>
        </w:tc>
        <w:tc>
          <w:tcPr>
            <w:tcW w:type="dxa" w:w="1560"/>
            <w:tcBorders>
              <w:top w:val="single" w:color="FFFFFF" w:sz="4"/>
              <w:left w:val="single" w:color="FFFFFF" w:sz="4"/>
              <w:bottom w:val="single" w:color="FFFFFF" w:sz="4"/>
              <w:right w:val="single" w:color="FFFFFF" w:sz="4"/>
            </w:tcBorders>
            <w:shd w:fill="01534f" w:val="clear"/>
            <w:tcMar>
              <w:top w:type="dxa" w:w="220"/>
              <w:left w:type="dxa" w:w="80"/>
              <w:bottom w:type="dxa" w:w="220"/>
              <w:right w:type="dxa" w:w="80"/>
            </w:tcMar>
          </w:tcPr>
          <w:p>
            <w:pPr>
              <w:jc w:val="center"/>
            </w:pPr>
            <w:r>
              <w:rPr>
                <w:b/>
                <w:bCs/>
                <w:color w:val="FFFFFF"/>
                <w:sz w:val="16"/>
                <w:szCs w:val="16"/>
              </w:rPr>
              <w:t xml:space="preserve">#01534f</w:t>
            </w:r>
          </w:p>
        </w:tc>
        <w:tc>
          <w:tcPr>
            <w:tcW w:type="dxa" w:w="1560"/>
            <w:tcBorders>
              <w:top w:val="single" w:color="FFFFFF" w:sz="4"/>
              <w:left w:val="single" w:color="FFFFFF" w:sz="4"/>
              <w:bottom w:val="single" w:color="FFFFFF" w:sz="4"/>
              <w:right w:val="single" w:color="FFFFFF" w:sz="4"/>
            </w:tcBorders>
            <w:shd w:fill="05312b" w:val="clear"/>
            <w:tcMar>
              <w:top w:type="dxa" w:w="220"/>
              <w:left w:type="dxa" w:w="80"/>
              <w:bottom w:type="dxa" w:w="220"/>
              <w:right w:type="dxa" w:w="80"/>
            </w:tcMar>
          </w:tcPr>
          <w:p>
            <w:pPr>
              <w:jc w:val="center"/>
            </w:pPr>
            <w:r>
              <w:rPr>
                <w:b/>
                <w:bCs/>
                <w:color w:val="FFFFFF"/>
                <w:sz w:val="16"/>
                <w:szCs w:val="16"/>
              </w:rPr>
              <w:t xml:space="preserve">#05312b</w:t>
            </w:r>
          </w:p>
        </w:tc>
        <w:tc>
          <w:tcPr>
            <w:tcW w:type="dxa" w:w="1560"/>
            <w:tcBorders>
              <w:top w:val="single" w:color="FFFFFF" w:sz="4"/>
              <w:left w:val="single" w:color="FFFFFF" w:sz="4"/>
              <w:bottom w:val="single" w:color="FFFFFF" w:sz="4"/>
              <w:right w:val="single" w:color="FFFFFF" w:sz="4"/>
            </w:tcBorders>
            <w:shd w:fill="f59c26" w:val="clear"/>
            <w:tcMar>
              <w:top w:type="dxa" w:w="220"/>
              <w:left w:type="dxa" w:w="80"/>
              <w:bottom w:type="dxa" w:w="220"/>
              <w:right w:type="dxa" w:w="80"/>
            </w:tcMar>
          </w:tcPr>
          <w:p>
            <w:pPr>
              <w:jc w:val="center"/>
            </w:pPr>
            <w:r>
              <w:rPr>
                <w:b/>
                <w:bCs/>
                <w:color w:val="FFFFFF"/>
                <w:sz w:val="16"/>
                <w:szCs w:val="16"/>
              </w:rPr>
              <w:t xml:space="preserve">#f59c26</w:t>
            </w:r>
          </w:p>
        </w:tc>
        <w:tc>
          <w:tcPr>
            <w:tcW w:type="dxa" w:w="1560"/>
            <w:tcBorders>
              <w:top w:val="single" w:color="FFFFFF" w:sz="4"/>
              <w:left w:val="single" w:color="FFFFFF" w:sz="4"/>
              <w:bottom w:val="single" w:color="FFFFFF" w:sz="4"/>
              <w:right w:val="single" w:color="FFFFFF" w:sz="4"/>
            </w:tcBorders>
            <w:shd w:fill="e38427" w:val="clear"/>
            <w:tcMar>
              <w:top w:type="dxa" w:w="220"/>
              <w:left w:type="dxa" w:w="80"/>
              <w:bottom w:type="dxa" w:w="220"/>
              <w:right w:type="dxa" w:w="80"/>
            </w:tcMar>
          </w:tcPr>
          <w:p>
            <w:pPr>
              <w:jc w:val="center"/>
            </w:pPr>
            <w:r>
              <w:rPr>
                <w:b/>
                <w:bCs/>
                <w:color w:val="FFFFFF"/>
                <w:sz w:val="16"/>
                <w:szCs w:val="16"/>
              </w:rPr>
              <w:t xml:space="preserve">#e38427</w:t>
            </w:r>
          </w:p>
        </w:tc>
        <w:tc>
          <w:tcPr>
            <w:tcW w:type="dxa" w:w="1560"/>
            <w:tcBorders>
              <w:top w:val="single" w:color="FFFFFF" w:sz="4"/>
              <w:left w:val="single" w:color="FFFFFF" w:sz="4"/>
              <w:bottom w:val="single" w:color="FFFFFF" w:sz="4"/>
              <w:right w:val="single" w:color="FFFFFF" w:sz="4"/>
            </w:tcBorders>
            <w:shd w:fill="dc5a27" w:val="clear"/>
            <w:tcMar>
              <w:top w:type="dxa" w:w="220"/>
              <w:left w:type="dxa" w:w="80"/>
              <w:bottom w:type="dxa" w:w="220"/>
              <w:right w:type="dxa" w:w="80"/>
            </w:tcMar>
          </w:tcPr>
          <w:p>
            <w:pPr>
              <w:jc w:val="center"/>
            </w:pPr>
            <w:r>
              <w:rPr>
                <w:b/>
                <w:bCs/>
                <w:color w:val="FFFFFF"/>
                <w:sz w:val="16"/>
                <w:szCs w:val="16"/>
              </w:rPr>
              <w:t xml:space="preserve">#dc5a27</w:t>
            </w:r>
          </w:p>
        </w:tc>
      </w:tr>
    </w:tbl>
    <w:p>
      <w:pPr>
        <w:spacing w:after="140" w:before="60"/>
      </w:pPr>
      <w:r>
        <w:rPr>
          <w:i/>
          <w:iCs/>
          <w:color w:val="44443f"/>
          <w:sz w:val="18"/>
          <w:szCs w:val="18"/>
        </w:rPr>
        <w:t xml:space="preserve">Teal inspired by the dome of Masjid Nabawi; orange signals optimism and active progress. Use teal as the base, orange sparingly as the accent.</w:t>
      </w:r>
    </w:p>
    <w:p>
      <w:pPr>
        <w:pStyle w:val="ListParagraph"/>
        <w:numPr>
          <w:ilvl w:val="0"/>
          <w:numId w:val="2"/>
        </w:numPr>
        <w:spacing w:after="70" w:line="290"/>
      </w:pPr>
      <w:r>
        <w:rPr>
          <w:b/>
          <w:bCs/>
          <w:color w:val="01534f"/>
        </w:rPr>
        <w:t xml:space="preserve">Typography — </w:t>
      </w:r>
      <w:r>
        <w:t xml:space="preserve">Syncopate as the geometric display/heading typeface; Montserrat as the clean, readable body typeface. Web note: reserve Syncopate for short headings — it is hard to read at body length; Montserrat carries body copy. (This document substitutes Montserrat for headings because Syncopate is not a standard Word font.)</w:t>
      </w:r>
    </w:p>
    <w:p>
      <w:pPr>
        <w:pStyle w:val="ListParagraph"/>
        <w:numPr>
          <w:ilvl w:val="0"/>
          <w:numId w:val="2"/>
        </w:numPr>
        <w:spacing w:after="70" w:line="290"/>
      </w:pPr>
      <w:r>
        <w:rPr>
          <w:b/>
          <w:bCs/>
          <w:color w:val="01534f"/>
        </w:rPr>
        <w:t xml:space="preserve">Logo discipline — </w:t>
      </w:r>
      <w:r>
        <w:t xml:space="preserve">respect clear-space (1× the height of the “K”, minimum logo height ~1.5 cm equivalent); do not distort, recolour outside the palette, add effects, or place on low-contrast or busy backgrounds.</w:t>
      </w:r>
    </w:p>
    <w:p>
      <w:pPr>
        <w:pStyle w:val="ListParagraph"/>
        <w:numPr>
          <w:ilvl w:val="0"/>
          <w:numId w:val="2"/>
        </w:numPr>
        <w:spacing w:after="70" w:line="290"/>
      </w:pPr>
      <w:r>
        <w:rPr>
          <w:b/>
          <w:bCs/>
          <w:color w:val="01534f"/>
        </w:rPr>
        <w:t xml:space="preserve">Supergraphic — </w:t>
      </w:r>
      <w:r>
        <w:t xml:space="preserve">the modular interlocking arch/dome pattern in teal and orange, symbolising collaboration and an inclusive ecosystem. Use at large scale as a section or hero device, not behind body text.</w:t>
      </w:r>
    </w:p>
    <w:p>
      <w:pPr>
        <w:pStyle w:val="ListParagraph"/>
        <w:numPr>
          <w:ilvl w:val="0"/>
          <w:numId w:val="2"/>
        </w:numPr>
        <w:spacing w:after="70" w:line="290"/>
      </w:pPr>
      <w:r>
        <w:rPr>
          <w:b/>
          <w:bCs/>
          <w:color w:val="01534f"/>
        </w:rPr>
        <w:t xml:space="preserve">Logogram meaning — </w:t>
      </w:r>
      <w:r>
        <w:t xml:space="preserve">the Kho (خ) initial = service as foundation; the bubble = dialogue and guided process; the dome (kubah) = a protective, inclusive ecosystem for growing together — a meaning that maps unusually well onto an academy.</w:t>
      </w:r>
    </w:p>
    <w:p>
      <w:pPr>
        <w:pStyle w:val="Heading2"/>
      </w:pPr>
      <w:r>
        <w:t xml:space="preserve">9.2 Adapt for the education context</w:t>
      </w:r>
    </w:p>
    <w:p>
      <w:pPr>
        <w:pStyle w:val="ListParagraph"/>
        <w:numPr>
          <w:ilvl w:val="0"/>
          <w:numId w:val="2"/>
        </w:numPr>
        <w:spacing w:after="70" w:line="290"/>
      </w:pPr>
      <w:r>
        <w:t xml:space="preserve">The audience-facing message shifts from “let us serve your brand” to “we guide you to grow.” The dome-as-ecosystem and the “process, not instant results” meaning already embedded in the brand support a learning narrative — lean on those rather than inventing new metaphors.</w:t>
      </w:r>
    </w:p>
    <w:p>
      <w:pPr>
        <w:pStyle w:val="ListParagraph"/>
        <w:numPr>
          <w:ilvl w:val="0"/>
          <w:numId w:val="2"/>
        </w:numPr>
        <w:spacing w:after="70" w:line="290"/>
      </w:pPr>
      <w:r>
        <w:t xml:space="preserve">Maintain the same trust-first, principled, warm register. Avoid the “get-rich-quick affiliate course” tone entirely — it would directly violate the Amanah and Itqan values and damage the parent brand.</w:t>
      </w:r>
    </w:p>
    <w:tbl>
      <w:tblPr>
        <w:tblW w:type="dxa" w:w="9360"/>
        <w:tblBorders>
          <w:top w:val="single" w:color="FAEEDA" w:sz="1"/>
          <w:left w:val="single" w:color="dc5a27" w:sz="24"/>
          <w:bottom w:val="single" w:color="FAEEDA" w:sz="1"/>
          <w:right w:val="single" w:color="FAEEDA" w:sz="1"/>
          <w:insideH w:val="single" w:color="FAEEDA" w:sz="1"/>
          <w:insideV w:val="single" w:color="FAEEDA" w:sz="1"/>
        </w:tblBorders>
      </w:tblPr>
      <w:tblGrid>
        <w:gridCol w:w="9360"/>
      </w:tblGrid>
      <w:tr>
        <w:tc>
          <w:tcPr>
            <w:tcW w:type="dxa" w:w="9360"/>
            <w:shd w:fill="FAEEDA" w:val="clear"/>
            <w:tcMar>
              <w:top w:type="dxa" w:w="120"/>
              <w:left w:type="dxa" w:w="200"/>
              <w:bottom w:type="dxa" w:w="120"/>
              <w:right w:type="dxa" w:w="200"/>
            </w:tcMar>
          </w:tcPr>
          <w:p>
            <w:pPr>
              <w:spacing w:after="60"/>
            </w:pPr>
            <w:r>
              <w:rPr>
                <w:b/>
                <w:bCs/>
                <w:caps/>
                <w:color w:val="05312b"/>
                <w:sz w:val="20"/>
                <w:szCs w:val="20"/>
              </w:rPr>
              <w:t xml:space="preserve">Open flag — to confirm internally</w:t>
            </w:r>
          </w:p>
          <w:p>
            <w:pPr>
              <w:spacing w:line="290"/>
            </w:pPr>
            <w:r>
              <w:rPr>
                <w:color w:val="44443f"/>
              </w:rPr>
              <w:t xml:space="preserve">The brand guideline already lists an affiliator arm: Jasa affiliator (TikTok) → Big Dream (Komunitas Affiliator). Clarify how Kheedma Academy relates to Big Dream (same, overlapping, or distinct), because the Academy's reason to exist needs to be sharper than “Kheedma also does affiliates.” Left open in this version pending internal confirmation.</w:t>
            </w:r>
          </w:p>
        </w:tc>
      </w:tr>
    </w:tbl>
    <w:p>
      <w:pPr>
        <w:pStyle w:val="Heading1"/>
        <w:pBdr>
          <w:bottom w:val="single" w:color="01534f" w:sz="12" w:space="3"/>
        </w:pBdr>
      </w:pPr>
      <w:r>
        <w:t xml:space="preserve">10. How the first cohort runs</w:t>
      </w:r>
    </w:p>
    <w:p>
      <w:pPr>
        <w:spacing w:after="140" w:line="300"/>
      </w:pPr>
      <w:r>
        <w:t xml:space="preserve">This sequence proves v1 is sufficient: everything operationally manual, everything recorded structurally.</w:t>
      </w:r>
    </w:p>
    <w:p>
      <w:pPr>
        <w:pStyle w:val="ListParagraph"/>
        <w:numPr>
          <w:ilvl w:val="0"/>
          <w:numId w:val="3"/>
        </w:numPr>
        <w:spacing w:after="90" w:line="290"/>
      </w:pPr>
      <w:r>
        <w:t xml:space="preserve">Applicant submits the form → Application created, matched to an existing Person by phone or a new Person created.</w:t>
      </w:r>
    </w:p>
    <w:p>
      <w:pPr>
        <w:pStyle w:val="ListParagraph"/>
        <w:numPr>
          <w:ilvl w:val="0"/>
          <w:numId w:val="3"/>
        </w:numPr>
        <w:spacing w:after="90" w:line="290"/>
      </w:pPr>
      <w:r>
        <w:t xml:space="preserve">Applicant submits the pre-filter task via an external tool → admin records submitted / link / verdict on the Application.</w:t>
      </w:r>
    </w:p>
    <w:p>
      <w:pPr>
        <w:pStyle w:val="ListParagraph"/>
        <w:numPr>
          <w:ilvl w:val="0"/>
          <w:numId w:val="3"/>
        </w:numPr>
        <w:spacing w:after="90" w:line="290"/>
      </w:pPr>
      <w:r>
        <w:t xml:space="preserve">Admin reviews and records accepted or rejected as a Status Event.</w:t>
      </w:r>
    </w:p>
    <w:p>
      <w:pPr>
        <w:pStyle w:val="ListParagraph"/>
        <w:numPr>
          <w:ilvl w:val="0"/>
          <w:numId w:val="3"/>
        </w:numPr>
        <w:spacing w:after="90" w:line="290"/>
      </w:pPr>
      <w:r>
        <w:t xml:space="preserve">Accepted people get an Enrollment in the current Cohort (which already references its Mentor).</w:t>
      </w:r>
    </w:p>
    <w:p>
      <w:pPr>
        <w:pStyle w:val="ListParagraph"/>
        <w:numPr>
          <w:ilvl w:val="0"/>
          <w:numId w:val="3"/>
        </w:numPr>
        <w:spacing w:after="90" w:line="290"/>
      </w:pPr>
      <w:r>
        <w:t xml:space="preserve">Mentoring and monitoring happen outside the system (manual).</w:t>
      </w:r>
    </w:p>
    <w:p>
      <w:pPr>
        <w:pStyle w:val="ListParagraph"/>
        <w:numPr>
          <w:ilvl w:val="0"/>
          <w:numId w:val="3"/>
        </w:numPr>
        <w:spacing w:after="90" w:line="290"/>
      </w:pPr>
      <w:r>
        <w:t xml:space="preserve">Admin records each status change (probation, continued, dropped + reason) as an appended Status Event, as it happens.</w:t>
      </w:r>
    </w:p>
    <w:p>
      <w:pPr>
        <w:pStyle w:val="ListParagraph"/>
        <w:numPr>
          <w:ilvl w:val="0"/>
          <w:numId w:val="3"/>
        </w:numPr>
        <w:spacing w:after="90" w:line="290"/>
      </w:pPr>
      <w:r>
        <w:t xml:space="preserve">At cohort end, export and analyse drop-off, patterns, and outcomes against the §4.1 success metrics.</w:t>
      </w:r>
    </w:p>
    <w:p>
      <w:pPr>
        <w:pStyle w:val="Heading1"/>
        <w:pBdr>
          <w:bottom w:val="single" w:color="01534f" w:sz="12" w:space="3"/>
        </w:pBdr>
      </w:pPr>
      <w:r>
        <w:t xml:space="preserve">11. The one forward-looking hook</w:t>
      </w:r>
    </w:p>
    <w:p>
      <w:pPr>
        <w:spacing w:after="140" w:line="300"/>
      </w:pPr>
      <w:r>
        <w:t xml:space="preserve">If revenue share is ever adopted, attribution data (which participant drove which sale for which brand) is the one thing that cannot be reconstructed retroactively. v1 does not build it. But because Enrollment already exists as a clean entity with stable IDs, a future affiliate-activity table linking to an enrollment is a clean addition, not a migration. That is the entire cost of staying future-safe: nothing extra today, simply not flattening the model now. The same clean structure is what any later AI recommendation feature would read from.</w:t>
      </w:r>
    </w:p>
    <w:p>
      <w:pPr>
        <w:pStyle w:val="Heading1"/>
        <w:pBdr>
          <w:bottom w:val="single" w:color="01534f" w:sz="12" w:space="3"/>
        </w:pBdr>
      </w:pPr>
      <w:r>
        <w:t xml:space="preserve">12. Open items to resolve</w:t>
      </w:r>
    </w:p>
    <w:p>
      <w:pPr>
        <w:pStyle w:val="ListParagraph"/>
        <w:numPr>
          <w:ilvl w:val="0"/>
          <w:numId w:val="2"/>
        </w:numPr>
        <w:spacing w:after="70" w:line="290"/>
      </w:pPr>
      <w:r>
        <w:t xml:space="preserve">Big Dream relationship to the Academy (§9.2) — needs internal confirmation.</w:t>
      </w:r>
    </w:p>
    <w:p>
      <w:pPr>
        <w:pStyle w:val="ListParagraph"/>
        <w:numPr>
          <w:ilvl w:val="0"/>
          <w:numId w:val="2"/>
        </w:numPr>
        <w:spacing w:after="70" w:line="290"/>
      </w:pPr>
      <w:r>
        <w:t xml:space="preserve">Monetization model and figures (§5) — pending research; cohort 1 keeps both paths open.</w:t>
      </w:r>
    </w:p>
    <w:p>
      <w:pPr>
        <w:pStyle w:val="ListParagraph"/>
        <w:numPr>
          <w:ilvl w:val="0"/>
          <w:numId w:val="2"/>
        </w:numPr>
        <w:spacing w:after="70" w:line="290"/>
      </w:pPr>
      <w:r>
        <w:t xml:space="preserve">Define the §4.1 experiment success targets before launch.</w:t>
      </w:r>
    </w:p>
    <w:p>
      <w:pPr>
        <w:pStyle w:val="ListParagraph"/>
        <w:numPr>
          <w:ilvl w:val="0"/>
          <w:numId w:val="2"/>
        </w:numPr>
        <w:spacing w:after="70" w:line="290"/>
      </w:pPr>
      <w:r>
        <w:t xml:space="preserve">Confirm the identity anchor and finalise form fields before the form is built (§8).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8A85"/>
        <w:sz w:val="16"/>
        <w:szCs w:val="16"/>
      </w:rPr>
      <w:t xml:space="preserve">v1 Concept — working document</w:t>
    </w:r>
    <w:r>
      <w:rPr>
        <w:sz w:val="16"/>
        <w:szCs w:val="16"/>
      </w:rPr>
      <w:t xml:space="preserve">	</w:t>
    </w:r>
    <w:r>
      <w:rPr>
        <w:color w:val="8A8A85"/>
        <w:sz w:val="16"/>
        <w:szCs w:val="16"/>
      </w:rPr>
      <w:t xml:space="preserve">Page </w:t>
    </w:r>
    <w:r>
      <w:rPr>
        <w:color w:val="8A8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c26" w:sz="6" w:space="2"/>
      </w:pBdr>
      <w:tabs>
        <w:tab w:val="right" w:pos="9360"/>
      </w:tabs>
    </w:pPr>
    <w:r>
      <w:rPr>
        <w:b/>
        <w:bCs/>
        <w:color w:val="01534f"/>
        <w:sz w:val="16"/>
        <w:szCs w:val="16"/>
      </w:rPr>
      <w:t xml:space="preserve">KHEEDMA ACADEMY</w:t>
    </w:r>
    <w:r>
      <w:rPr>
        <w:i/>
        <w:iCs/>
        <w:color w:val="14786e"/>
        <w:sz w:val="16"/>
        <w:szCs w:val="16"/>
      </w:rPr>
      <w:t xml:space="preserve">	Serving with Purpose, Growing with Barakah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59c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0153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444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Montserrat" w:cs="Montserrat" w:eastAsia="Montserrat" w:hAnsi="Montserrat"/>
      <w:b/>
      <w:bCs/>
      <w:color w:val="01534f"/>
      <w:sz w:val="56"/>
      <w:szCs w:val="56"/>
    </w:rPr>
  </w:style>
  <w:style w:type="paragraph" w:styleId="Heading1">
    <w:name w:val="Heading 1"/>
    <w:basedOn w:val="Normal"/>
    <w:next w:val="Normal"/>
    <w:qFormat/>
    <w:pPr>
      <w:spacing w:after="160" w:before="320"/>
      <w:outlineLvl w:val="0"/>
    </w:pPr>
    <w:rPr>
      <w:rFonts w:ascii="Montserrat" w:cs="Montserrat" w:eastAsia="Montserrat" w:hAnsi="Montserrat"/>
      <w:b/>
      <w:bCs/>
      <w:color w:val="01534f"/>
      <w:sz w:val="30"/>
      <w:szCs w:val="30"/>
    </w:rPr>
  </w:style>
  <w:style w:type="paragraph" w:styleId="Heading2">
    <w:name w:val="Heading 2"/>
    <w:basedOn w:val="Normal"/>
    <w:next w:val="Normal"/>
    <w:qFormat/>
    <w:pPr>
      <w:spacing w:after="100" w:before="200"/>
      <w:outlineLvl w:val="1"/>
    </w:pPr>
    <w:rPr>
      <w:rFonts w:ascii="Montserrat" w:cs="Montserrat" w:eastAsia="Montserrat" w:hAnsi="Montserrat"/>
      <w:b/>
      <w:bCs/>
      <w:color w:val="1478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Kheedma Academy — Version 1 Concept &amp; Plan</dc:title>
  <dc:creator>Kheedma Academy</dc:creator>
  <cp:lastModifiedBy>Un-named</cp:lastModifiedBy>
  <cp:revision>1</cp:revision>
  <dcterms:created xsi:type="dcterms:W3CDTF">2026-06-13T05:39:05.855Z</dcterms:created>
  <dcterms:modified xsi:type="dcterms:W3CDTF">2026-06-13T05:39:05.855Z</dcterms:modified>
</cp:coreProperties>
</file>

<file path=docProps/custom.xml><?xml version="1.0" encoding="utf-8"?>
<Properties xmlns="http://schemas.openxmlformats.org/officeDocument/2006/custom-properties" xmlns:vt="http://schemas.openxmlformats.org/officeDocument/2006/docPropsVTypes"/>
</file>