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6C" w:rsidRPr="00A4024D" w:rsidRDefault="0017656C" w:rsidP="0017656C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eastAsia="Times New Roman" w:cs="Times New Roman"/>
          <w:b/>
          <w:lang w:eastAsia="ru-RU"/>
        </w:rPr>
      </w:pPr>
      <w:r w:rsidRPr="00A4024D">
        <w:rPr>
          <w:rFonts w:eastAsia="Times New Roman" w:cs="Times New Roman"/>
          <w:b/>
          <w:lang w:eastAsia="ru-RU"/>
        </w:rPr>
        <w:t>НАЗВАНИЕ СТАТЬИ</w:t>
      </w:r>
    </w:p>
    <w:p w:rsidR="0017656C" w:rsidRPr="00A4024D" w:rsidRDefault="0017656C" w:rsidP="0017656C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17656C" w:rsidRPr="00346D1B" w:rsidRDefault="0017656C" w:rsidP="0017656C">
      <w:pPr>
        <w:spacing w:after="0" w:line="240" w:lineRule="auto"/>
        <w:jc w:val="center"/>
        <w:rPr>
          <w:rFonts w:eastAsia="Times New Roman" w:cs="Times New Roman"/>
          <w:caps/>
          <w:lang w:val="kk-KZ" w:eastAsia="ru-RU"/>
        </w:rPr>
      </w:pPr>
      <w:r w:rsidRPr="00A4024D">
        <w:rPr>
          <w:rFonts w:eastAsia="Times New Roman" w:cs="Times New Roman"/>
          <w:lang w:eastAsia="ru-RU"/>
        </w:rPr>
        <w:t xml:space="preserve">Фамилия </w:t>
      </w:r>
      <w:r>
        <w:rPr>
          <w:rFonts w:eastAsia="Times New Roman" w:cs="Times New Roman"/>
          <w:lang w:val="kk-KZ" w:eastAsia="ru-RU"/>
        </w:rPr>
        <w:t>И. О.</w:t>
      </w:r>
    </w:p>
    <w:p w:rsidR="0017656C" w:rsidRPr="00A4024D" w:rsidRDefault="0017656C" w:rsidP="0017656C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к.т.н., доцент, Торайгыров университет</w:t>
      </w:r>
      <w:r w:rsidRPr="00A4024D">
        <w:rPr>
          <w:rFonts w:eastAsia="Times New Roman" w:cs="Times New Roman"/>
          <w:lang w:eastAsia="ru-RU"/>
        </w:rPr>
        <w:t>, г. Павлодар</w:t>
      </w:r>
    </w:p>
    <w:p w:rsidR="0017656C" w:rsidRPr="00346D1B" w:rsidRDefault="0017656C" w:rsidP="0017656C">
      <w:pPr>
        <w:spacing w:after="0" w:line="240" w:lineRule="auto"/>
        <w:jc w:val="center"/>
        <w:rPr>
          <w:rFonts w:eastAsia="Times New Roman" w:cs="Times New Roman"/>
          <w:caps/>
          <w:lang w:val="kk-KZ" w:eastAsia="ru-RU"/>
        </w:rPr>
      </w:pPr>
      <w:r>
        <w:rPr>
          <w:rFonts w:eastAsia="Times New Roman" w:cs="Times New Roman"/>
          <w:lang w:eastAsia="ru-RU"/>
        </w:rPr>
        <w:t>Фамилия И</w:t>
      </w:r>
      <w:r>
        <w:rPr>
          <w:rFonts w:eastAsia="Times New Roman" w:cs="Times New Roman"/>
          <w:lang w:val="kk-KZ" w:eastAsia="ru-RU"/>
        </w:rPr>
        <w:t>. О.</w:t>
      </w:r>
    </w:p>
    <w:p w:rsidR="0017656C" w:rsidRPr="00A4024D" w:rsidRDefault="0017656C" w:rsidP="0017656C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студент, Торайгыров университет</w:t>
      </w:r>
      <w:r w:rsidRPr="00A4024D">
        <w:rPr>
          <w:rFonts w:eastAsia="Times New Roman" w:cs="Times New Roman"/>
          <w:lang w:eastAsia="ru-RU"/>
        </w:rPr>
        <w:t>, г. Павлодар</w:t>
      </w:r>
    </w:p>
    <w:p w:rsidR="0017656C" w:rsidRDefault="0017656C" w:rsidP="0017656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x-none"/>
        </w:rPr>
      </w:pPr>
    </w:p>
    <w:p w:rsidR="0017656C" w:rsidRPr="00A4024D" w:rsidRDefault="0017656C" w:rsidP="0017656C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lang w:eastAsia="x-none"/>
        </w:rPr>
      </w:pPr>
      <w:r w:rsidRPr="00A4024D">
        <w:rPr>
          <w:rFonts w:eastAsia="Times New Roman" w:cs="Times New Roman"/>
          <w:lang w:eastAsia="x-none"/>
        </w:rPr>
        <w:t xml:space="preserve">Текст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текст</w:t>
      </w:r>
      <w:proofErr w:type="spellEnd"/>
      <w:r w:rsidRPr="00A4024D">
        <w:rPr>
          <w:rFonts w:eastAsia="Times New Roman" w:cs="Times New Roman"/>
          <w:lang w:eastAsia="x-none"/>
        </w:rPr>
        <w:t xml:space="preserve"> [1, с. 12].</w:t>
      </w:r>
    </w:p>
    <w:p w:rsidR="0017656C" w:rsidRPr="00A4024D" w:rsidRDefault="0017656C" w:rsidP="0017656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x-none"/>
        </w:rPr>
      </w:pPr>
      <w:r w:rsidRPr="00A4024D">
        <w:rPr>
          <w:rFonts w:eastAsia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76AC16" wp14:editId="0EB49A0B">
            <wp:simplePos x="0" y="0"/>
            <wp:positionH relativeFrom="margin">
              <wp:align>center</wp:align>
            </wp:positionH>
            <wp:positionV relativeFrom="margin">
              <wp:posOffset>1908810</wp:posOffset>
            </wp:positionV>
            <wp:extent cx="1685925" cy="1774190"/>
            <wp:effectExtent l="0" t="0" r="9525" b="0"/>
            <wp:wrapTopAndBottom/>
            <wp:docPr id="2" name="Рисунок 2" descr="D:\Documents\issenova.b\Desktop\Maslowsneeds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issenova.b\Desktop\Maslowsneeds_ru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6C" w:rsidRDefault="0017656C" w:rsidP="0017656C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lang w:eastAsia="x-none"/>
        </w:rPr>
      </w:pPr>
    </w:p>
    <w:p w:rsidR="0017656C" w:rsidRPr="00A4024D" w:rsidRDefault="0017656C" w:rsidP="0017656C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lang w:eastAsia="x-none"/>
        </w:rPr>
      </w:pPr>
      <w:bookmarkStart w:id="0" w:name="_GoBack"/>
      <w:bookmarkEnd w:id="0"/>
      <w:r>
        <w:rPr>
          <w:rFonts w:eastAsia="Times New Roman" w:cs="Times New Roman"/>
          <w:lang w:eastAsia="x-none"/>
        </w:rPr>
        <w:t>Рисунок</w:t>
      </w:r>
      <w:r w:rsidRPr="00A4024D">
        <w:rPr>
          <w:rFonts w:eastAsia="Times New Roman" w:cs="Times New Roman"/>
          <w:lang w:eastAsia="x-none"/>
        </w:rPr>
        <w:t xml:space="preserve"> 1</w:t>
      </w:r>
      <w:r>
        <w:rPr>
          <w:rFonts w:eastAsia="Times New Roman" w:cs="Times New Roman"/>
          <w:lang w:val="en-US" w:eastAsia="x-none"/>
        </w:rPr>
        <w:t xml:space="preserve"> –</w:t>
      </w:r>
      <w:r w:rsidRPr="00A4024D">
        <w:rPr>
          <w:rFonts w:eastAsia="Times New Roman" w:cs="Times New Roman"/>
          <w:lang w:eastAsia="x-none"/>
        </w:rPr>
        <w:t xml:space="preserve"> Пирамида </w:t>
      </w:r>
      <w:proofErr w:type="spellStart"/>
      <w:r w:rsidRPr="00A4024D">
        <w:rPr>
          <w:rFonts w:eastAsia="Times New Roman" w:cs="Times New Roman"/>
          <w:lang w:eastAsia="x-none"/>
        </w:rPr>
        <w:t>Маслоу</w:t>
      </w:r>
      <w:proofErr w:type="spellEnd"/>
    </w:p>
    <w:p w:rsidR="0017656C" w:rsidRPr="00A4024D" w:rsidRDefault="0017656C" w:rsidP="0017656C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lang w:eastAsia="x-none"/>
        </w:rPr>
      </w:pPr>
    </w:p>
    <w:p w:rsidR="0017656C" w:rsidRPr="00A4024D" w:rsidRDefault="0017656C" w:rsidP="0017656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x-none"/>
        </w:rPr>
      </w:pPr>
      <w:r w:rsidRPr="00A4024D">
        <w:rPr>
          <w:rFonts w:eastAsia="Times New Roman" w:cs="Times New Roman"/>
          <w:lang w:eastAsia="x-none"/>
        </w:rPr>
        <w:t>Таблица 1 – Текст</w:t>
      </w:r>
    </w:p>
    <w:p w:rsidR="0017656C" w:rsidRPr="00A4024D" w:rsidRDefault="0017656C" w:rsidP="0017656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x-none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32"/>
        <w:gridCol w:w="1935"/>
        <w:gridCol w:w="2073"/>
        <w:gridCol w:w="2401"/>
        <w:gridCol w:w="2120"/>
      </w:tblGrid>
      <w:tr w:rsidR="0017656C" w:rsidRPr="00A4024D" w:rsidTr="008F4D99">
        <w:tc>
          <w:tcPr>
            <w:tcW w:w="293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№</w:t>
            </w:r>
          </w:p>
        </w:tc>
        <w:tc>
          <w:tcPr>
            <w:tcW w:w="1068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144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325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170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</w:tr>
      <w:tr w:rsidR="0017656C" w:rsidRPr="00A4024D" w:rsidTr="008F4D99">
        <w:tc>
          <w:tcPr>
            <w:tcW w:w="293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1</w:t>
            </w:r>
          </w:p>
        </w:tc>
        <w:tc>
          <w:tcPr>
            <w:tcW w:w="1068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144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325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170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</w:tr>
      <w:tr w:rsidR="0017656C" w:rsidRPr="00A4024D" w:rsidTr="008F4D99">
        <w:tc>
          <w:tcPr>
            <w:tcW w:w="293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2</w:t>
            </w:r>
          </w:p>
        </w:tc>
        <w:tc>
          <w:tcPr>
            <w:tcW w:w="1068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144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325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  <w:tc>
          <w:tcPr>
            <w:tcW w:w="1170" w:type="pct"/>
          </w:tcPr>
          <w:p w:rsidR="0017656C" w:rsidRPr="00A4024D" w:rsidRDefault="0017656C" w:rsidP="008F4D99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</w:pPr>
            <w:r w:rsidRPr="00A4024D">
              <w:rPr>
                <w:rFonts w:asciiTheme="minorHAnsi" w:eastAsia="Times New Roman" w:hAnsiTheme="minorHAnsi"/>
                <w:sz w:val="22"/>
                <w:szCs w:val="22"/>
                <w:lang w:eastAsia="x-none"/>
              </w:rPr>
              <w:t>Текст</w:t>
            </w:r>
          </w:p>
        </w:tc>
      </w:tr>
    </w:tbl>
    <w:p w:rsidR="0017656C" w:rsidRPr="00A4024D" w:rsidRDefault="0017656C" w:rsidP="0017656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lang w:eastAsia="x-none"/>
        </w:rPr>
      </w:pPr>
    </w:p>
    <w:p w:rsidR="0017656C" w:rsidRPr="00A4024D" w:rsidRDefault="0017656C" w:rsidP="0017656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lang w:eastAsia="x-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lang w:eastAsia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x-none"/>
                </w:rPr>
                <m:t>sin</m:t>
              </m:r>
            </m:fName>
            <m:e>
              <m:r>
                <w:rPr>
                  <w:rFonts w:ascii="Cambria Math" w:eastAsia="Cambria Math" w:hAnsi="Cambria Math" w:cs="Times New Roman"/>
                  <w:lang w:eastAsia="x-none"/>
                </w:rPr>
                <m:t>α</m:t>
              </m:r>
            </m:e>
          </m:func>
          <m:r>
            <w:rPr>
              <w:rFonts w:ascii="Cambria Math" w:eastAsia="Cambria Math" w:hAnsi="Cambria Math" w:cs="Times New Roman"/>
              <w:lang w:eastAsia="x-none"/>
            </w:rPr>
            <m:t>±</m:t>
          </m:r>
          <m:func>
            <m:funcPr>
              <m:ctrlPr>
                <w:rPr>
                  <w:rFonts w:ascii="Cambria Math" w:eastAsia="Times New Roman" w:hAnsi="Cambria Math" w:cs="Times New Roman"/>
                  <w:lang w:eastAsia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lang w:eastAsia="x-none"/>
                </w:rPr>
                <m:t>sin</m:t>
              </m:r>
            </m:fName>
            <m:e>
              <m:r>
                <w:rPr>
                  <w:rFonts w:ascii="Cambria Math" w:eastAsia="Cambria Math" w:hAnsi="Cambria Math" w:cs="Times New Roman"/>
                  <w:lang w:eastAsia="x-none"/>
                </w:rPr>
                <m:t>β</m:t>
              </m:r>
            </m:e>
          </m:func>
          <m:r>
            <w:rPr>
              <w:rFonts w:ascii="Cambria Math" w:eastAsia="Cambria Math" w:hAnsi="Cambria Math" w:cs="Times New Roman"/>
              <w:lang w:eastAsia="x-none"/>
            </w:rPr>
            <m:t>=2</m:t>
          </m:r>
          <m:func>
            <m:funcPr>
              <m:ctrlPr>
                <w:rPr>
                  <w:rFonts w:ascii="Cambria Math" w:eastAsia="Times New Roman" w:hAnsi="Cambria Math" w:cs="Times New Roman"/>
                  <w:lang w:eastAsia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lang w:eastAsia="x-none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lang w:eastAsia="x-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lang w:eastAsia="x-none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lang w:eastAsia="x-none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lang w:eastAsia="x-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lang w:eastAsia="x-none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lang w:eastAsia="x-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  <w:lang w:eastAsia="x-none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lang w:eastAsia="x-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lang w:eastAsia="x-none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lang w:eastAsia="x-none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lang w:eastAsia="x-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lang w:eastAsia="x-none"/>
                    </w:rPr>
                    <m:t>α∓β</m:t>
                  </m:r>
                </m:e>
              </m:d>
            </m:e>
          </m:func>
        </m:oMath>
      </m:oMathPara>
    </w:p>
    <w:p w:rsidR="0017656C" w:rsidRDefault="0017656C" w:rsidP="0017656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lang w:eastAsia="x-none"/>
        </w:rPr>
      </w:pPr>
    </w:p>
    <w:p w:rsidR="0017656C" w:rsidRDefault="0017656C" w:rsidP="0017656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eastAsia="Times New Roman" w:cs="Times New Roman"/>
          <w:lang w:eastAsia="x-none"/>
        </w:rPr>
        <w:t xml:space="preserve">Формула 1 – </w:t>
      </w:r>
      <w:r>
        <w:t>Сумма/разность синусов</w:t>
      </w:r>
    </w:p>
    <w:p w:rsidR="0017656C" w:rsidRPr="004F3E1D" w:rsidRDefault="0017656C" w:rsidP="0017656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lang w:eastAsia="x-none"/>
        </w:rPr>
      </w:pPr>
    </w:p>
    <w:p w:rsidR="0017656C" w:rsidRPr="00A4024D" w:rsidRDefault="0017656C" w:rsidP="0017656C"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lang w:eastAsia="x-none"/>
        </w:rPr>
      </w:pPr>
      <w:r w:rsidRPr="00A4024D">
        <w:rPr>
          <w:rFonts w:eastAsia="Times New Roman" w:cs="Times New Roman"/>
          <w:lang w:eastAsia="x-none"/>
        </w:rPr>
        <w:t>ЛИТЕРАТУРА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eastAsia="Times New Roman" w:cs="Times New Roman"/>
          <w:b/>
          <w:color w:val="000000"/>
          <w:lang w:eastAsia="ru-RU"/>
        </w:rPr>
      </w:pPr>
      <w:proofErr w:type="spellStart"/>
      <w:r w:rsidRPr="00A4024D">
        <w:rPr>
          <w:rFonts w:eastAsia="Times New Roman" w:cs="Times New Roman"/>
          <w:color w:val="000000"/>
          <w:lang w:eastAsia="ru-RU"/>
        </w:rPr>
        <w:t>Бopдoвcкaя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Н. В.,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Poзум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C. И.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Пcиxoлoгия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и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педaгoгик</w:t>
      </w:r>
      <w:proofErr w:type="gramStart"/>
      <w:r w:rsidRPr="00A4024D">
        <w:rPr>
          <w:rFonts w:eastAsia="Times New Roman" w:cs="Times New Roman"/>
          <w:color w:val="000000"/>
          <w:lang w:eastAsia="ru-RU"/>
        </w:rPr>
        <w:t>a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:</w:t>
      </w:r>
      <w:proofErr w:type="gramEnd"/>
      <w:r w:rsidRPr="00A4024D">
        <w:rPr>
          <w:rFonts w:eastAsia="Times New Roman" w:cs="Times New Roman"/>
          <w:color w:val="000000"/>
          <w:lang w:eastAsia="ru-RU"/>
        </w:rPr>
        <w:t xml:space="preserve"> Учебник для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вузoв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. –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CПб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.: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Питеp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>, 2011. – 344 с.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4024D">
        <w:rPr>
          <w:rFonts w:eastAsia="Times New Roman" w:cs="Times New Roman"/>
          <w:color w:val="000000"/>
          <w:lang w:eastAsia="ru-RU"/>
        </w:rPr>
        <w:t>Дoлгopукoв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A.М.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Метoды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эффективнoгo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caмooбpaзoвaния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или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кaк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пpaвильнo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учитьcя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>. – М., 2001. – 258 с.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eastAsia="Times New Roman" w:cs="Times New Roman"/>
          <w:b/>
          <w:color w:val="000000"/>
          <w:lang w:eastAsia="ru-RU"/>
        </w:rPr>
      </w:pPr>
      <w:proofErr w:type="spellStart"/>
      <w:r w:rsidRPr="00A4024D">
        <w:rPr>
          <w:rFonts w:eastAsia="Times New Roman" w:cs="Times New Roman"/>
          <w:color w:val="000000"/>
          <w:lang w:eastAsia="ru-RU"/>
        </w:rPr>
        <w:t>Федoтoвa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Е. Е.,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Нoвикoвa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Т. Г,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Пpутченкoв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A. C.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Зapубежный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oпыт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иcпoльзoвaния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пopтфoлиo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. / Е. Е.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Федoтoвa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, Т. Г.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Нoвикoвa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, A. C.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Пpутченкoв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 xml:space="preserve"> // </w:t>
      </w:r>
      <w:proofErr w:type="spellStart"/>
      <w:r w:rsidRPr="00A4024D">
        <w:rPr>
          <w:rFonts w:eastAsia="Times New Roman" w:cs="Times New Roman"/>
          <w:color w:val="000000"/>
          <w:lang w:eastAsia="ru-RU"/>
        </w:rPr>
        <w:t>Метoдиcт</w:t>
      </w:r>
      <w:proofErr w:type="spellEnd"/>
      <w:r w:rsidRPr="00A4024D">
        <w:rPr>
          <w:rFonts w:eastAsia="Times New Roman" w:cs="Times New Roman"/>
          <w:color w:val="000000"/>
          <w:lang w:eastAsia="ru-RU"/>
        </w:rPr>
        <w:t>. ‒ № 5. ‒ 2005. C. 27–33.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eastAsia="Times New Roman" w:cs="Times New Roman"/>
          <w:b/>
          <w:color w:val="000000"/>
          <w:lang w:eastAsia="ru-RU"/>
        </w:rPr>
      </w:pPr>
      <w:proofErr w:type="spellStart"/>
      <w:r w:rsidRPr="00A4024D">
        <w:rPr>
          <w:rFonts w:eastAsia="Times New Roman" w:cs="Times New Roman"/>
          <w:lang w:eastAsia="ru-RU"/>
        </w:rPr>
        <w:t>Джарасова</w:t>
      </w:r>
      <w:proofErr w:type="spellEnd"/>
      <w:r w:rsidRPr="00A4024D">
        <w:rPr>
          <w:rFonts w:eastAsia="Times New Roman" w:cs="Times New Roman"/>
          <w:lang w:eastAsia="ru-RU"/>
        </w:rPr>
        <w:t xml:space="preserve"> Г. С. О пропедевтике метода формальных аксиоматических теорий / Г. С. </w:t>
      </w:r>
      <w:proofErr w:type="spellStart"/>
      <w:r w:rsidRPr="00A4024D">
        <w:rPr>
          <w:rFonts w:eastAsia="Times New Roman" w:cs="Times New Roman"/>
          <w:lang w:eastAsia="ru-RU"/>
        </w:rPr>
        <w:t>Джарасова</w:t>
      </w:r>
      <w:proofErr w:type="spellEnd"/>
      <w:r w:rsidRPr="00A4024D">
        <w:rPr>
          <w:rFonts w:eastAsia="Times New Roman" w:cs="Times New Roman"/>
          <w:lang w:eastAsia="ru-RU"/>
        </w:rPr>
        <w:t xml:space="preserve">, Б. Н. </w:t>
      </w:r>
      <w:proofErr w:type="spellStart"/>
      <w:r w:rsidRPr="00A4024D">
        <w:rPr>
          <w:rFonts w:eastAsia="Times New Roman" w:cs="Times New Roman"/>
          <w:lang w:eastAsia="ru-RU"/>
        </w:rPr>
        <w:t>Дроботун</w:t>
      </w:r>
      <w:proofErr w:type="spellEnd"/>
      <w:r w:rsidRPr="00A4024D">
        <w:rPr>
          <w:rFonts w:eastAsia="Times New Roman" w:cs="Times New Roman"/>
          <w:lang w:eastAsia="ru-RU"/>
        </w:rPr>
        <w:t xml:space="preserve"> // Материалы республиканской научной конференции молодых ученых, студентов и школьников «IV </w:t>
      </w:r>
      <w:proofErr w:type="spellStart"/>
      <w:r w:rsidRPr="00A4024D">
        <w:rPr>
          <w:rFonts w:eastAsia="Times New Roman" w:cs="Times New Roman"/>
          <w:lang w:eastAsia="ru-RU"/>
        </w:rPr>
        <w:t>Сатпаевские</w:t>
      </w:r>
      <w:proofErr w:type="spellEnd"/>
      <w:r w:rsidRPr="00A4024D">
        <w:rPr>
          <w:rFonts w:eastAsia="Times New Roman" w:cs="Times New Roman"/>
          <w:lang w:eastAsia="ru-RU"/>
        </w:rPr>
        <w:t xml:space="preserve"> чтения» / ПГУ им. С. </w:t>
      </w:r>
      <w:proofErr w:type="spellStart"/>
      <w:r w:rsidRPr="00A4024D">
        <w:rPr>
          <w:rFonts w:eastAsia="Times New Roman" w:cs="Times New Roman"/>
          <w:lang w:eastAsia="ru-RU"/>
        </w:rPr>
        <w:t>Торайгырова</w:t>
      </w:r>
      <w:proofErr w:type="spellEnd"/>
      <w:r w:rsidRPr="00A4024D">
        <w:rPr>
          <w:rFonts w:eastAsia="Times New Roman" w:cs="Times New Roman"/>
          <w:lang w:eastAsia="ru-RU"/>
        </w:rPr>
        <w:t>. – Павлодар, 2004. – Т. 6. – С. 64–70.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  <w:tab w:val="right" w:pos="9921"/>
        </w:tabs>
        <w:spacing w:after="0" w:line="240" w:lineRule="auto"/>
        <w:ind w:left="0" w:firstLine="567"/>
        <w:jc w:val="both"/>
        <w:rPr>
          <w:rFonts w:eastAsia="Times New Roman" w:cs="Times New Roman"/>
          <w:b/>
          <w:lang w:eastAsia="x-none"/>
        </w:rPr>
      </w:pPr>
      <w:r w:rsidRPr="00A4024D">
        <w:rPr>
          <w:rFonts w:eastAsia="Times New Roman" w:cs="Times New Roman"/>
          <w:lang w:eastAsia="x-none"/>
        </w:rPr>
        <w:t xml:space="preserve">Кошелева Т. Н. Выбор стратегии малых инновационных венчурных предприятий: </w:t>
      </w:r>
      <w:proofErr w:type="spellStart"/>
      <w:r w:rsidRPr="00A4024D">
        <w:rPr>
          <w:rFonts w:eastAsia="Times New Roman" w:cs="Times New Roman"/>
          <w:lang w:eastAsia="x-none"/>
        </w:rPr>
        <w:t>автореф</w:t>
      </w:r>
      <w:proofErr w:type="spellEnd"/>
      <w:r w:rsidRPr="00A4024D">
        <w:rPr>
          <w:rFonts w:eastAsia="Times New Roman" w:cs="Times New Roman"/>
          <w:lang w:eastAsia="x-none"/>
        </w:rPr>
        <w:t xml:space="preserve">. </w:t>
      </w:r>
      <w:proofErr w:type="spellStart"/>
      <w:proofErr w:type="gramStart"/>
      <w:r w:rsidRPr="00A4024D">
        <w:rPr>
          <w:rFonts w:eastAsia="Times New Roman" w:cs="Times New Roman"/>
          <w:lang w:eastAsia="x-none"/>
        </w:rPr>
        <w:t>дис</w:t>
      </w:r>
      <w:proofErr w:type="spellEnd"/>
      <w:r w:rsidRPr="00A4024D">
        <w:rPr>
          <w:rFonts w:eastAsia="Times New Roman" w:cs="Times New Roman"/>
          <w:lang w:eastAsia="x-none"/>
        </w:rPr>
        <w:t>….</w:t>
      </w:r>
      <w:proofErr w:type="gramEnd"/>
      <w:r w:rsidRPr="00A4024D">
        <w:rPr>
          <w:rFonts w:eastAsia="Times New Roman" w:cs="Times New Roman"/>
          <w:lang w:eastAsia="x-none"/>
        </w:rPr>
        <w:t xml:space="preserve"> на </w:t>
      </w:r>
      <w:proofErr w:type="spellStart"/>
      <w:r w:rsidRPr="00A4024D">
        <w:rPr>
          <w:rFonts w:eastAsia="Times New Roman" w:cs="Times New Roman"/>
          <w:lang w:eastAsia="x-none"/>
        </w:rPr>
        <w:t>соиск</w:t>
      </w:r>
      <w:proofErr w:type="spellEnd"/>
      <w:r w:rsidRPr="00A4024D">
        <w:rPr>
          <w:rFonts w:eastAsia="Times New Roman" w:cs="Times New Roman"/>
          <w:lang w:eastAsia="x-none"/>
        </w:rPr>
        <w:t xml:space="preserve">. уч. степ. канд. </w:t>
      </w:r>
      <w:proofErr w:type="spellStart"/>
      <w:r w:rsidRPr="00A4024D">
        <w:rPr>
          <w:rFonts w:eastAsia="Times New Roman" w:cs="Times New Roman"/>
          <w:lang w:eastAsia="x-none"/>
        </w:rPr>
        <w:t>экон</w:t>
      </w:r>
      <w:proofErr w:type="spellEnd"/>
      <w:r w:rsidRPr="00A4024D">
        <w:rPr>
          <w:rFonts w:eastAsia="Times New Roman" w:cs="Times New Roman"/>
          <w:lang w:eastAsia="x-none"/>
        </w:rPr>
        <w:t>. наук. – Санкт-Петербург, 2007. – 26 с.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  <w:tab w:val="right" w:pos="9921"/>
        </w:tabs>
        <w:spacing w:after="0" w:line="240" w:lineRule="auto"/>
        <w:ind w:left="0" w:firstLine="567"/>
        <w:jc w:val="both"/>
        <w:rPr>
          <w:rFonts w:eastAsia="Times New Roman" w:cs="Times New Roman"/>
          <w:b/>
          <w:lang w:eastAsia="x-none"/>
        </w:rPr>
      </w:pPr>
      <w:r w:rsidRPr="00A4024D">
        <w:rPr>
          <w:rFonts w:eastAsia="Times New Roman" w:cs="Times New Roman"/>
          <w:lang w:eastAsia="x-none"/>
        </w:rPr>
        <w:t xml:space="preserve">Закон Республики Казахстан от 18 февраля 2011 года № 407-IV «О науке» </w:t>
      </w:r>
      <w:r w:rsidRPr="00A4024D">
        <w:rPr>
          <w:rFonts w:eastAsia="Times New Roman" w:cs="Times New Roman"/>
          <w:lang w:eastAsia="x-none"/>
        </w:rPr>
        <w:br/>
        <w:t>с изменениями и дополнениями по состоянию на 26.12.2018 г.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  <w:tab w:val="right" w:pos="9921"/>
        </w:tabs>
        <w:spacing w:after="0" w:line="240" w:lineRule="auto"/>
        <w:ind w:left="0" w:firstLine="567"/>
        <w:jc w:val="both"/>
        <w:rPr>
          <w:rFonts w:eastAsia="Times New Roman" w:cs="Times New Roman"/>
          <w:b/>
          <w:lang w:eastAsia="x-none"/>
        </w:rPr>
      </w:pPr>
      <w:r w:rsidRPr="00A4024D">
        <w:rPr>
          <w:rFonts w:eastAsia="Times New Roman" w:cs="Times New Roman"/>
          <w:lang w:eastAsia="x-none"/>
        </w:rPr>
        <w:lastRenderedPageBreak/>
        <w:t>Калымов А. Героев батыры вели // Казахстанская правда. 07 декабря 2018 года (№ 191). – С. 10.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  <w:tab w:val="right" w:pos="9921"/>
        </w:tabs>
        <w:spacing w:after="0" w:line="240" w:lineRule="auto"/>
        <w:ind w:left="0" w:firstLine="567"/>
        <w:jc w:val="both"/>
        <w:rPr>
          <w:rFonts w:eastAsia="Times New Roman" w:cs="Times New Roman"/>
          <w:b/>
          <w:lang w:val="en-US" w:eastAsia="x-none"/>
        </w:rPr>
      </w:pPr>
      <w:proofErr w:type="spellStart"/>
      <w:r w:rsidRPr="00A4024D">
        <w:rPr>
          <w:rFonts w:eastAsia="Times New Roman" w:cs="Times New Roman"/>
          <w:lang w:val="en-US" w:eastAsia="x-none"/>
        </w:rPr>
        <w:t>Erdelyi</w:t>
      </w:r>
      <w:proofErr w:type="spellEnd"/>
      <w:r w:rsidRPr="00A4024D">
        <w:rPr>
          <w:rFonts w:eastAsia="Times New Roman" w:cs="Times New Roman"/>
          <w:lang w:val="en-US" w:eastAsia="x-none"/>
        </w:rPr>
        <w:t xml:space="preserve"> L., </w:t>
      </w:r>
      <w:proofErr w:type="spellStart"/>
      <w:r w:rsidRPr="00A4024D">
        <w:rPr>
          <w:rFonts w:eastAsia="Times New Roman" w:cs="Times New Roman"/>
          <w:lang w:val="en-US" w:eastAsia="x-none"/>
        </w:rPr>
        <w:t>Dorjsuren</w:t>
      </w:r>
      <w:proofErr w:type="spellEnd"/>
      <w:r w:rsidRPr="00A4024D">
        <w:rPr>
          <w:rFonts w:eastAsia="Times New Roman" w:cs="Times New Roman"/>
          <w:lang w:val="en-US" w:eastAsia="x-none"/>
        </w:rPr>
        <w:t xml:space="preserve"> C., Navan D. Results of the Mongolian-Hungarian archaeological expeditions 1961–1964 (a comprehensive report) // </w:t>
      </w:r>
      <w:proofErr w:type="spellStart"/>
      <w:r w:rsidRPr="00A4024D">
        <w:rPr>
          <w:rFonts w:eastAsia="Times New Roman" w:cs="Times New Roman"/>
          <w:lang w:val="en-US" w:eastAsia="x-none"/>
        </w:rPr>
        <w:t>Actaarchaeologica</w:t>
      </w:r>
      <w:proofErr w:type="spellEnd"/>
      <w:r w:rsidRPr="00A4024D">
        <w:rPr>
          <w:rFonts w:eastAsia="Times New Roman" w:cs="Times New Roman"/>
          <w:lang w:val="en-US" w:eastAsia="x-none"/>
        </w:rPr>
        <w:t>. 1967. T. XIX. P. 335–370 [</w:t>
      </w:r>
      <w:r w:rsidRPr="00A4024D">
        <w:rPr>
          <w:rFonts w:eastAsia="Times New Roman" w:cs="Times New Roman"/>
          <w:lang w:eastAsia="x-none"/>
        </w:rPr>
        <w:t>на</w:t>
      </w:r>
      <w:r w:rsidRPr="00A4024D">
        <w:rPr>
          <w:rFonts w:eastAsia="Times New Roman" w:cs="Times New Roman"/>
          <w:lang w:val="en-US"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англ</w:t>
      </w:r>
      <w:proofErr w:type="spellEnd"/>
      <w:r w:rsidRPr="00A4024D">
        <w:rPr>
          <w:rFonts w:eastAsia="Times New Roman" w:cs="Times New Roman"/>
          <w:lang w:val="en-US" w:eastAsia="x-none"/>
        </w:rPr>
        <w:t xml:space="preserve">. </w:t>
      </w:r>
      <w:proofErr w:type="spellStart"/>
      <w:r w:rsidRPr="00A4024D">
        <w:rPr>
          <w:rFonts w:eastAsia="Times New Roman" w:cs="Times New Roman"/>
          <w:lang w:eastAsia="x-none"/>
        </w:rPr>
        <w:t>яз</w:t>
      </w:r>
      <w:proofErr w:type="spellEnd"/>
      <w:r w:rsidRPr="00A4024D">
        <w:rPr>
          <w:rFonts w:eastAsia="Times New Roman" w:cs="Times New Roman"/>
          <w:lang w:val="en-US" w:eastAsia="x-none"/>
        </w:rPr>
        <w:t>.].</w:t>
      </w:r>
    </w:p>
    <w:p w:rsidR="0017656C" w:rsidRPr="00A4024D" w:rsidRDefault="0017656C" w:rsidP="0017656C">
      <w:pPr>
        <w:numPr>
          <w:ilvl w:val="0"/>
          <w:numId w:val="1"/>
        </w:numPr>
        <w:tabs>
          <w:tab w:val="left" w:pos="851"/>
          <w:tab w:val="right" w:pos="9921"/>
        </w:tabs>
        <w:spacing w:after="0" w:line="240" w:lineRule="auto"/>
        <w:ind w:left="0" w:firstLine="567"/>
        <w:jc w:val="both"/>
        <w:rPr>
          <w:rFonts w:eastAsia="Times New Roman" w:cs="Times New Roman"/>
          <w:lang w:val="en-US" w:eastAsia="x-none"/>
        </w:rPr>
      </w:pPr>
      <w:r w:rsidRPr="00A4024D">
        <w:rPr>
          <w:rFonts w:eastAsia="Times New Roman" w:cs="Times New Roman"/>
          <w:lang w:val="en-US" w:eastAsia="x-none"/>
        </w:rPr>
        <w:t>American Heritage Dictionary of the English Language, Fifth Edition. – Houghton Mifflin Harcourt Publishing Company, 2011. 2084 p. [</w:t>
      </w:r>
      <w:r w:rsidRPr="00A4024D">
        <w:rPr>
          <w:rFonts w:eastAsia="Times New Roman" w:cs="Times New Roman"/>
          <w:lang w:eastAsia="x-none"/>
        </w:rPr>
        <w:t>на</w:t>
      </w:r>
      <w:r w:rsidRPr="00A4024D">
        <w:rPr>
          <w:rFonts w:eastAsia="Times New Roman" w:cs="Times New Roman"/>
          <w:lang w:val="en-US" w:eastAsia="x-none"/>
        </w:rPr>
        <w:t xml:space="preserve"> </w:t>
      </w:r>
      <w:proofErr w:type="spellStart"/>
      <w:r w:rsidRPr="00A4024D">
        <w:rPr>
          <w:rFonts w:eastAsia="Times New Roman" w:cs="Times New Roman"/>
          <w:lang w:eastAsia="x-none"/>
        </w:rPr>
        <w:t>англ</w:t>
      </w:r>
      <w:proofErr w:type="spellEnd"/>
      <w:r w:rsidRPr="00A4024D">
        <w:rPr>
          <w:rFonts w:eastAsia="Times New Roman" w:cs="Times New Roman"/>
          <w:lang w:val="en-US" w:eastAsia="x-none"/>
        </w:rPr>
        <w:t xml:space="preserve">. </w:t>
      </w:r>
      <w:proofErr w:type="spellStart"/>
      <w:r w:rsidRPr="00A4024D">
        <w:rPr>
          <w:rFonts w:eastAsia="Times New Roman" w:cs="Times New Roman"/>
          <w:lang w:eastAsia="x-none"/>
        </w:rPr>
        <w:t>яз</w:t>
      </w:r>
      <w:proofErr w:type="spellEnd"/>
      <w:r w:rsidRPr="00A4024D">
        <w:rPr>
          <w:rFonts w:eastAsia="Times New Roman" w:cs="Times New Roman"/>
          <w:lang w:val="en-US" w:eastAsia="x-none"/>
        </w:rPr>
        <w:t>.].</w:t>
      </w:r>
    </w:p>
    <w:p w:rsidR="0017656C" w:rsidRDefault="0017656C" w:rsidP="0017656C">
      <w:pPr>
        <w:numPr>
          <w:ilvl w:val="0"/>
          <w:numId w:val="1"/>
        </w:numPr>
        <w:tabs>
          <w:tab w:val="left" w:pos="851"/>
          <w:tab w:val="right" w:pos="9921"/>
        </w:tabs>
        <w:spacing w:after="0" w:line="240" w:lineRule="auto"/>
        <w:ind w:left="0" w:firstLine="567"/>
        <w:jc w:val="both"/>
        <w:rPr>
          <w:rFonts w:eastAsia="Times New Roman" w:cs="Times New Roman"/>
          <w:b/>
          <w:lang w:eastAsia="x-none"/>
        </w:rPr>
      </w:pPr>
      <w:r w:rsidRPr="00A4024D">
        <w:rPr>
          <w:rFonts w:eastAsia="Times New Roman" w:cs="Times New Roman"/>
          <w:lang w:eastAsia="x-none"/>
        </w:rPr>
        <w:t>Интернет в России: динамика проникновения. Весна 2013 // Фонд Общественное мнение. 11 июня 2013 г. [Электронный ресурс]. ‒ URL: http://runet.fom.ru/Proniknovenie-interneta/10950 [дата обращения 28.09.2014].</w:t>
      </w:r>
    </w:p>
    <w:p w:rsidR="004B35B8" w:rsidRPr="0017656C" w:rsidRDefault="0017656C" w:rsidP="0017656C"/>
    <w:sectPr w:rsidR="004B35B8" w:rsidRPr="0017656C" w:rsidSect="00E439FF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D7F90"/>
    <w:multiLevelType w:val="hybridMultilevel"/>
    <w:tmpl w:val="C464CDD4"/>
    <w:lvl w:ilvl="0" w:tplc="BB74F73E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DCB1A1D"/>
    <w:multiLevelType w:val="hybridMultilevel"/>
    <w:tmpl w:val="C464CDD4"/>
    <w:lvl w:ilvl="0" w:tplc="BB74F73E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FF"/>
    <w:rsid w:val="00015C38"/>
    <w:rsid w:val="000D71B3"/>
    <w:rsid w:val="0017656C"/>
    <w:rsid w:val="00E439FF"/>
    <w:rsid w:val="00EE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717A-58C1-4700-B0D4-49DC82B6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56C"/>
  </w:style>
  <w:style w:type="paragraph" w:styleId="3">
    <w:name w:val="heading 3"/>
    <w:basedOn w:val="a"/>
    <w:next w:val="a"/>
    <w:link w:val="30"/>
    <w:semiHidden/>
    <w:unhideWhenUsed/>
    <w:qFormat/>
    <w:rsid w:val="00EE3F83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cap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439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4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EE3F83"/>
    <w:rPr>
      <w:rFonts w:ascii="Times New Roman" w:eastAsia="Times New Roman" w:hAnsi="Times New Roman" w:cs="Times New Roman"/>
      <w:caps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EE3F83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EE3F83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character" w:customStyle="1" w:styleId="a6">
    <w:name w:val="Основной текст с отступом Знак"/>
    <w:basedOn w:val="a0"/>
    <w:link w:val="a5"/>
    <w:rsid w:val="00EE3F83"/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paragraph" w:styleId="31">
    <w:name w:val="Body Text 3"/>
    <w:basedOn w:val="a"/>
    <w:link w:val="32"/>
    <w:semiHidden/>
    <w:unhideWhenUsed/>
    <w:rsid w:val="00EE3F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semiHidden/>
    <w:rsid w:val="00EE3F83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Исенова Биназир Константиновна</dc:creator>
  <cp:keywords/>
  <dc:description/>
  <cp:lastModifiedBy>Исенова Биназир Константиновна</cp:lastModifiedBy>
  <cp:revision>3</cp:revision>
  <dcterms:created xsi:type="dcterms:W3CDTF">2021-02-12T05:04:00Z</dcterms:created>
  <dcterms:modified xsi:type="dcterms:W3CDTF">2021-02-12T05:09:00Z</dcterms:modified>
</cp:coreProperties>
</file>