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13D6" w:rsidRDefault="008D63BD">
      <w:pPr>
        <w:spacing w:before="20" w:afterAutospacing="1" w:line="342" w:lineRule="auto"/>
        <w:ind w:left="-540" w:right="-810"/>
      </w:pPr>
      <w:r>
        <w:rPr>
          <w:b/>
          <w:color w:val="333333"/>
          <w:sz w:val="29"/>
          <w:szCs w:val="29"/>
          <w:highlight w:val="white"/>
        </w:rPr>
        <w:t xml:space="preserve">   PUI2015 Extra Credit Project </w:t>
      </w:r>
    </w:p>
    <w:p w:rsidR="00154A93" w:rsidRPr="00B234F8" w:rsidRDefault="00154A93" w:rsidP="00154A93">
      <w:pPr>
        <w:spacing w:before="20" w:afterAutospacing="1" w:line="342" w:lineRule="auto"/>
        <w:rPr>
          <w:b/>
          <w:color w:val="333333"/>
          <w:sz w:val="44"/>
          <w:szCs w:val="44"/>
          <w:highlight w:val="white"/>
        </w:rPr>
      </w:pPr>
      <w:r w:rsidRPr="00B234F8">
        <w:rPr>
          <w:b/>
          <w:color w:val="333333"/>
          <w:sz w:val="44"/>
          <w:szCs w:val="44"/>
          <w:highlight w:val="white"/>
        </w:rPr>
        <w:t xml:space="preserve">Vision Zero Crash Data Analysis </w:t>
      </w:r>
    </w:p>
    <w:p w:rsidR="00154A93" w:rsidRDefault="00154A93" w:rsidP="00154A93">
      <w:pPr>
        <w:spacing w:before="20" w:afterAutospacing="1" w:line="342" w:lineRule="auto"/>
      </w:pPr>
      <w:r>
        <w:rPr>
          <w:b/>
          <w:color w:val="333333"/>
          <w:sz w:val="29"/>
          <w:szCs w:val="29"/>
          <w:highlight w:val="white"/>
        </w:rPr>
        <w:t>&lt;Alexey Kalinin, GitHub</w:t>
      </w:r>
      <w:r>
        <w:rPr>
          <w:b/>
          <w:color w:val="333333"/>
          <w:sz w:val="29"/>
          <w:szCs w:val="29"/>
          <w:highlight w:val="white"/>
        </w:rPr>
        <w:t xml:space="preserve"> </w:t>
      </w:r>
      <w:r>
        <w:rPr>
          <w:b/>
          <w:color w:val="333333"/>
          <w:sz w:val="29"/>
          <w:szCs w:val="29"/>
          <w:highlight w:val="white"/>
        </w:rPr>
        <w:t>– ak6129, NYU ID - ak6129&gt;</w:t>
      </w:r>
    </w:p>
    <w:p w:rsidR="00D64387" w:rsidRDefault="008D63BD" w:rsidP="00687062">
      <w:pPr>
        <w:pStyle w:val="NormalWeb"/>
        <w:shd w:val="clear" w:color="auto" w:fill="FFFFFF"/>
        <w:spacing w:before="0" w:beforeAutospacing="0" w:after="150" w:afterAutospacing="0"/>
        <w:rPr>
          <w:rFonts w:ascii="Arial" w:hAnsi="Arial" w:cs="Arial"/>
          <w:color w:val="333333"/>
        </w:rPr>
      </w:pPr>
      <w:r w:rsidRPr="00ED6C01">
        <w:rPr>
          <w:rFonts w:ascii="Arial" w:hAnsi="Arial" w:cs="Arial"/>
          <w:b/>
          <w:color w:val="333333"/>
        </w:rPr>
        <w:t>Abstract</w:t>
      </w:r>
      <w:r w:rsidRPr="00ED6C01">
        <w:rPr>
          <w:rFonts w:ascii="Arial" w:hAnsi="Arial" w:cs="Arial"/>
          <w:color w:val="333333"/>
        </w:rPr>
        <w:t xml:space="preserve">: </w:t>
      </w:r>
      <w:r w:rsidR="00154A93" w:rsidRPr="00ED6C01">
        <w:rPr>
          <w:rFonts w:ascii="Arial" w:hAnsi="Arial" w:cs="Arial"/>
          <w:color w:val="333333"/>
        </w:rPr>
        <w:t xml:space="preserve">The project was focused on exploring fatalities occurred in New York City </w:t>
      </w:r>
      <w:r w:rsidR="00687062">
        <w:rPr>
          <w:rFonts w:ascii="Arial" w:hAnsi="Arial" w:cs="Arial"/>
          <w:color w:val="333333"/>
        </w:rPr>
        <w:t xml:space="preserve">(NYC) </w:t>
      </w:r>
      <w:r w:rsidR="00154A93" w:rsidRPr="00ED6C01">
        <w:rPr>
          <w:rFonts w:ascii="Arial" w:hAnsi="Arial" w:cs="Arial"/>
          <w:color w:val="333333"/>
        </w:rPr>
        <w:t>among 3 major groups involved in traffic accidents</w:t>
      </w:r>
      <w:r w:rsidR="00D64387">
        <w:rPr>
          <w:rFonts w:ascii="Arial" w:hAnsi="Arial" w:cs="Arial"/>
          <w:color w:val="333333"/>
        </w:rPr>
        <w:t xml:space="preserve"> between 2009 and 2016</w:t>
      </w:r>
      <w:r w:rsidR="00154A93" w:rsidRPr="00ED6C01">
        <w:rPr>
          <w:rFonts w:ascii="Arial" w:hAnsi="Arial" w:cs="Arial"/>
          <w:color w:val="333333"/>
        </w:rPr>
        <w:t xml:space="preserve">: pedestrians, bicyclists, </w:t>
      </w:r>
      <w:r w:rsidR="00687062">
        <w:rPr>
          <w:rFonts w:ascii="Arial" w:hAnsi="Arial" w:cs="Arial"/>
          <w:color w:val="333333"/>
        </w:rPr>
        <w:t xml:space="preserve">and </w:t>
      </w:r>
      <w:r w:rsidR="00154A93" w:rsidRPr="00ED6C01">
        <w:rPr>
          <w:rFonts w:ascii="Arial" w:hAnsi="Arial" w:cs="Arial"/>
          <w:color w:val="333333"/>
        </w:rPr>
        <w:t>motor vehicle occupants(MVO).</w:t>
      </w:r>
      <w:r w:rsidR="008E13E3" w:rsidRPr="00ED6C01">
        <w:rPr>
          <w:rFonts w:ascii="Arial" w:hAnsi="Arial" w:cs="Arial"/>
          <w:color w:val="333333"/>
        </w:rPr>
        <w:t xml:space="preserve"> The project</w:t>
      </w:r>
      <w:r w:rsidR="00687062">
        <w:rPr>
          <w:rFonts w:ascii="Arial" w:hAnsi="Arial" w:cs="Arial"/>
          <w:color w:val="333333"/>
        </w:rPr>
        <w:t>’s</w:t>
      </w:r>
      <w:r w:rsidR="008E13E3" w:rsidRPr="00ED6C01">
        <w:rPr>
          <w:rFonts w:ascii="Arial" w:hAnsi="Arial" w:cs="Arial"/>
          <w:color w:val="333333"/>
        </w:rPr>
        <w:t xml:space="preserve"> results show that overall trend in fatalities is declining, while trend analysis</w:t>
      </w:r>
      <w:r w:rsidR="00D64387">
        <w:rPr>
          <w:rFonts w:ascii="Arial" w:hAnsi="Arial" w:cs="Arial"/>
          <w:color w:val="333333"/>
        </w:rPr>
        <w:t xml:space="preserve"> for each group</w:t>
      </w:r>
      <w:r w:rsidR="008E13E3" w:rsidRPr="00ED6C01">
        <w:rPr>
          <w:rFonts w:ascii="Arial" w:hAnsi="Arial" w:cs="Arial"/>
          <w:color w:val="333333"/>
        </w:rPr>
        <w:t xml:space="preserve"> shows that fatalities among bicyclists is increasing. </w:t>
      </w:r>
      <w:r w:rsidR="00D64387" w:rsidRPr="00ED6C01">
        <w:rPr>
          <w:rFonts w:ascii="Arial" w:hAnsi="Arial" w:cs="Arial"/>
          <w:color w:val="333333"/>
        </w:rPr>
        <w:t xml:space="preserve">Also, further analysis revealed that the highest number of fatalities occurred: for pedestrians in lower east side downtown </w:t>
      </w:r>
      <w:r w:rsidR="00D64387" w:rsidRPr="003E7926">
        <w:rPr>
          <w:rFonts w:ascii="Arial" w:hAnsi="Arial" w:cs="Arial"/>
          <w:color w:val="333333"/>
        </w:rPr>
        <w:t>Manhattan</w:t>
      </w:r>
      <w:r w:rsidR="00D64387" w:rsidRPr="00ED6C01">
        <w:rPr>
          <w:rFonts w:ascii="Arial" w:hAnsi="Arial" w:cs="Arial"/>
          <w:color w:val="333333"/>
        </w:rPr>
        <w:t>, zip code 10002; for bicyclists in east Harlem uptown Manhattan</w:t>
      </w:r>
      <w:r w:rsidR="00D64387">
        <w:rPr>
          <w:rFonts w:ascii="Arial" w:hAnsi="Arial" w:cs="Arial"/>
          <w:color w:val="333333"/>
        </w:rPr>
        <w:t xml:space="preserve"> zip code 10029</w:t>
      </w:r>
      <w:r w:rsidR="00D64387" w:rsidRPr="00ED6C01">
        <w:rPr>
          <w:rFonts w:ascii="Arial" w:hAnsi="Arial" w:cs="Arial"/>
          <w:color w:val="333333"/>
        </w:rPr>
        <w:t>; for MVO in East Flatbush, Brooklyn</w:t>
      </w:r>
      <w:r w:rsidR="00D64387">
        <w:rPr>
          <w:rFonts w:ascii="Arial" w:hAnsi="Arial" w:cs="Arial"/>
          <w:color w:val="333333"/>
        </w:rPr>
        <w:t>, zip code 11203</w:t>
      </w:r>
      <w:r w:rsidR="0043474F">
        <w:rPr>
          <w:rFonts w:ascii="Arial" w:hAnsi="Arial" w:cs="Arial"/>
          <w:color w:val="333333"/>
        </w:rPr>
        <w:t>.</w:t>
      </w:r>
    </w:p>
    <w:p w:rsidR="00154A93" w:rsidRPr="002A6464" w:rsidRDefault="008D63BD" w:rsidP="00687062">
      <w:pPr>
        <w:spacing w:before="20" w:afterAutospacing="1" w:line="240" w:lineRule="auto"/>
        <w:rPr>
          <w:rFonts w:eastAsia="Times New Roman"/>
          <w:color w:val="333333"/>
          <w:sz w:val="24"/>
          <w:szCs w:val="24"/>
        </w:rPr>
      </w:pPr>
      <w:r>
        <w:rPr>
          <w:b/>
          <w:color w:val="333333"/>
          <w:sz w:val="24"/>
          <w:szCs w:val="24"/>
          <w:highlight w:val="white"/>
        </w:rPr>
        <w:t xml:space="preserve">Introduction: </w:t>
      </w:r>
      <w:r w:rsidR="002A6464" w:rsidRPr="002A6464">
        <w:rPr>
          <w:rFonts w:eastAsia="Times New Roman"/>
          <w:color w:val="333333"/>
          <w:sz w:val="24"/>
          <w:szCs w:val="24"/>
        </w:rPr>
        <w:t>In New York City (NYC), nearly 4,000 residents are injured and more than 250 residents are killed due to traffic collisions each year</w:t>
      </w:r>
      <w:r w:rsidR="002A6464" w:rsidRPr="002A6464">
        <w:rPr>
          <w:rFonts w:eastAsia="Times New Roman"/>
          <w:color w:val="333333"/>
          <w:sz w:val="24"/>
          <w:szCs w:val="24"/>
          <w:vertAlign w:val="superscript"/>
        </w:rPr>
        <w:t>1</w:t>
      </w:r>
      <w:r w:rsidR="002A6464" w:rsidRPr="002A6464">
        <w:rPr>
          <w:rFonts w:eastAsia="Times New Roman"/>
          <w:color w:val="333333"/>
          <w:sz w:val="24"/>
          <w:szCs w:val="24"/>
        </w:rPr>
        <w:t>.  According to NYC government, collisions injure or kill some City residents every two hours</w:t>
      </w:r>
      <w:r w:rsidR="002A6464" w:rsidRPr="002A6464">
        <w:rPr>
          <w:rFonts w:eastAsia="Times New Roman"/>
          <w:color w:val="333333"/>
          <w:sz w:val="24"/>
          <w:szCs w:val="24"/>
          <w:vertAlign w:val="superscript"/>
        </w:rPr>
        <w:t>2</w:t>
      </w:r>
      <w:r w:rsidR="002A6464" w:rsidRPr="002A6464">
        <w:rPr>
          <w:rFonts w:eastAsia="Times New Roman"/>
          <w:color w:val="333333"/>
          <w:sz w:val="24"/>
          <w:szCs w:val="24"/>
        </w:rPr>
        <w:t>.  In response to the high injury rate, the City has taken a number of initiatives to mitigate the volume of injuries, including, expanding enforcement against speeding and yielding to pedestrians, harsher penalties for dangerous drivers, and new street designs that improve safety.</w:t>
      </w:r>
      <w:r w:rsidR="002A6464">
        <w:rPr>
          <w:rFonts w:eastAsia="Times New Roman"/>
          <w:color w:val="333333"/>
          <w:sz w:val="24"/>
          <w:szCs w:val="24"/>
        </w:rPr>
        <w:t xml:space="preserve"> </w:t>
      </w:r>
      <w:r w:rsidR="00154A93" w:rsidRPr="002A6464">
        <w:rPr>
          <w:rFonts w:eastAsia="Times New Roman"/>
          <w:color w:val="333333"/>
          <w:sz w:val="24"/>
          <w:szCs w:val="24"/>
        </w:rPr>
        <w:t>The question</w:t>
      </w:r>
      <w:r w:rsidR="00687062" w:rsidRPr="002A6464">
        <w:rPr>
          <w:rFonts w:eastAsia="Times New Roman"/>
          <w:color w:val="333333"/>
          <w:sz w:val="24"/>
          <w:szCs w:val="24"/>
        </w:rPr>
        <w:t>s</w:t>
      </w:r>
      <w:r w:rsidR="00154A93" w:rsidRPr="002A6464">
        <w:rPr>
          <w:rFonts w:eastAsia="Times New Roman"/>
          <w:color w:val="333333"/>
          <w:sz w:val="24"/>
          <w:szCs w:val="24"/>
        </w:rPr>
        <w:t xml:space="preserve"> for this project </w:t>
      </w:r>
      <w:r w:rsidR="00687062" w:rsidRPr="002A6464">
        <w:rPr>
          <w:rFonts w:eastAsia="Times New Roman"/>
          <w:color w:val="333333"/>
          <w:sz w:val="24"/>
          <w:szCs w:val="24"/>
        </w:rPr>
        <w:t>are</w:t>
      </w:r>
      <w:r w:rsidR="00154A93" w:rsidRPr="002A6464">
        <w:rPr>
          <w:rFonts w:eastAsia="Times New Roman"/>
          <w:color w:val="333333"/>
          <w:sz w:val="24"/>
          <w:szCs w:val="24"/>
        </w:rPr>
        <w:t xml:space="preserve"> to find out tendency for fatalities due to road accidents in NYC for period from 2009 to 2016, localize some high-risk locations for 5 boroughs for 3 major groups – pedestrians, bikers, and motor vehicle occupants, and explore what </w:t>
      </w:r>
      <w:r w:rsidR="00687062" w:rsidRPr="002A6464">
        <w:rPr>
          <w:rFonts w:eastAsia="Times New Roman"/>
          <w:color w:val="333333"/>
          <w:sz w:val="24"/>
          <w:szCs w:val="24"/>
        </w:rPr>
        <w:t>are</w:t>
      </w:r>
      <w:r w:rsidR="00154A93" w:rsidRPr="002A6464">
        <w:rPr>
          <w:rFonts w:eastAsia="Times New Roman"/>
          <w:color w:val="333333"/>
          <w:sz w:val="24"/>
          <w:szCs w:val="24"/>
        </w:rPr>
        <w:t xml:space="preserve"> the change</w:t>
      </w:r>
      <w:r w:rsidR="00687062" w:rsidRPr="002A6464">
        <w:rPr>
          <w:rFonts w:eastAsia="Times New Roman"/>
          <w:color w:val="333333"/>
          <w:sz w:val="24"/>
          <w:szCs w:val="24"/>
        </w:rPr>
        <w:t>s</w:t>
      </w:r>
      <w:r w:rsidR="00154A93" w:rsidRPr="002A6464">
        <w:rPr>
          <w:rFonts w:eastAsia="Times New Roman"/>
          <w:color w:val="333333"/>
          <w:sz w:val="24"/>
          <w:szCs w:val="24"/>
        </w:rPr>
        <w:t xml:space="preserve"> for these locations. To answer the stated question</w:t>
      </w:r>
      <w:r w:rsidR="00687062" w:rsidRPr="002A6464">
        <w:rPr>
          <w:rFonts w:eastAsia="Times New Roman"/>
          <w:color w:val="333333"/>
          <w:sz w:val="24"/>
          <w:szCs w:val="24"/>
        </w:rPr>
        <w:t>s</w:t>
      </w:r>
      <w:r w:rsidR="00154A93" w:rsidRPr="002A6464">
        <w:rPr>
          <w:rFonts w:eastAsia="Times New Roman"/>
          <w:color w:val="333333"/>
          <w:sz w:val="24"/>
          <w:szCs w:val="24"/>
        </w:rPr>
        <w:t xml:space="preserve">, I’m going to analyze a </w:t>
      </w:r>
      <w:r w:rsidR="00687062" w:rsidRPr="002A6464">
        <w:rPr>
          <w:rFonts w:eastAsia="Times New Roman"/>
          <w:color w:val="333333"/>
          <w:sz w:val="24"/>
          <w:szCs w:val="24"/>
        </w:rPr>
        <w:t>data provided by Department of T</w:t>
      </w:r>
      <w:r w:rsidR="00154A93" w:rsidRPr="002A6464">
        <w:rPr>
          <w:rFonts w:eastAsia="Times New Roman"/>
          <w:color w:val="333333"/>
          <w:sz w:val="24"/>
          <w:szCs w:val="24"/>
        </w:rPr>
        <w:t>ransportation</w:t>
      </w:r>
      <w:r w:rsidR="00687062" w:rsidRPr="002A6464">
        <w:rPr>
          <w:rFonts w:eastAsia="Times New Roman"/>
          <w:color w:val="333333"/>
          <w:sz w:val="24"/>
          <w:szCs w:val="24"/>
        </w:rPr>
        <w:t xml:space="preserve"> (DOT)</w:t>
      </w:r>
      <w:r w:rsidR="00154A93" w:rsidRPr="002A6464">
        <w:rPr>
          <w:rFonts w:eastAsia="Times New Roman"/>
          <w:color w:val="333333"/>
          <w:sz w:val="24"/>
          <w:szCs w:val="24"/>
        </w:rPr>
        <w:t xml:space="preserve"> of NYC.   </w:t>
      </w:r>
    </w:p>
    <w:p w:rsidR="00B234F8" w:rsidRDefault="008D63BD" w:rsidP="00687062">
      <w:pPr>
        <w:spacing w:before="20" w:afterAutospacing="1" w:line="240" w:lineRule="auto"/>
        <w:rPr>
          <w:color w:val="333333"/>
          <w:sz w:val="24"/>
          <w:szCs w:val="24"/>
        </w:rPr>
      </w:pPr>
      <w:r>
        <w:rPr>
          <w:b/>
          <w:color w:val="333333"/>
          <w:sz w:val="24"/>
          <w:szCs w:val="24"/>
          <w:highlight w:val="white"/>
        </w:rPr>
        <w:t xml:space="preserve">Data: </w:t>
      </w:r>
      <w:r w:rsidR="00AE4479">
        <w:rPr>
          <w:color w:val="333333"/>
          <w:sz w:val="24"/>
          <w:szCs w:val="24"/>
          <w:highlight w:val="white"/>
        </w:rPr>
        <w:t xml:space="preserve">The main resource </w:t>
      </w:r>
      <w:r w:rsidR="002A6464">
        <w:rPr>
          <w:color w:val="333333"/>
          <w:sz w:val="24"/>
          <w:szCs w:val="24"/>
          <w:highlight w:val="white"/>
        </w:rPr>
        <w:t>of</w:t>
      </w:r>
      <w:r w:rsidR="00AE4479">
        <w:rPr>
          <w:color w:val="333333"/>
          <w:sz w:val="24"/>
          <w:szCs w:val="24"/>
          <w:highlight w:val="white"/>
        </w:rPr>
        <w:t xml:space="preserve"> the data for this project </w:t>
      </w:r>
      <w:r w:rsidR="002A6464">
        <w:rPr>
          <w:color w:val="333333"/>
          <w:sz w:val="24"/>
          <w:szCs w:val="24"/>
          <w:highlight w:val="white"/>
        </w:rPr>
        <w:t>was</w:t>
      </w:r>
      <w:r w:rsidR="00AE4479">
        <w:rPr>
          <w:color w:val="333333"/>
          <w:sz w:val="24"/>
          <w:szCs w:val="24"/>
          <w:highlight w:val="white"/>
        </w:rPr>
        <w:t xml:space="preserve"> DOT specifically </w:t>
      </w:r>
      <w:r w:rsidR="00AE4479" w:rsidRPr="003E3AB1">
        <w:rPr>
          <w:color w:val="333333"/>
          <w:sz w:val="24"/>
          <w:szCs w:val="24"/>
          <w:highlight w:val="white"/>
        </w:rPr>
        <w:t>Vision Zero Data Feeds</w:t>
      </w:r>
      <w:r w:rsidR="002A6464" w:rsidRPr="002A6464">
        <w:rPr>
          <w:color w:val="333333"/>
          <w:sz w:val="24"/>
          <w:szCs w:val="24"/>
          <w:highlight w:val="white"/>
          <w:vertAlign w:val="superscript"/>
        </w:rPr>
        <w:t>3</w:t>
      </w:r>
      <w:r w:rsidR="00AE4479">
        <w:rPr>
          <w:color w:val="333333"/>
          <w:sz w:val="24"/>
          <w:szCs w:val="24"/>
          <w:highlight w:val="white"/>
        </w:rPr>
        <w:t>. The project will include two sets of data: fatalities distributed by year and fatalities distributed by month</w:t>
      </w:r>
      <w:r w:rsidR="002A6464">
        <w:rPr>
          <w:color w:val="333333"/>
          <w:sz w:val="24"/>
          <w:szCs w:val="24"/>
          <w:highlight w:val="white"/>
        </w:rPr>
        <w:t xml:space="preserve">. </w:t>
      </w:r>
      <w:r w:rsidR="00AE4479">
        <w:rPr>
          <w:color w:val="333333"/>
          <w:sz w:val="24"/>
          <w:szCs w:val="24"/>
          <w:highlight w:val="white"/>
        </w:rPr>
        <w:t>Both data sets consist of total number of fatalities for period from 2009 to 2016, distribution of fatalities among 3 major groups, year or month for registered fatalities, and location within 5 boroughs in NYC.</w:t>
      </w:r>
      <w:r w:rsidR="002A6464">
        <w:rPr>
          <w:color w:val="333333"/>
          <w:sz w:val="24"/>
          <w:szCs w:val="24"/>
          <w:highlight w:val="white"/>
        </w:rPr>
        <w:t xml:space="preserve"> To prepare the data for analysis I </w:t>
      </w:r>
      <w:r w:rsidR="00B234F8">
        <w:rPr>
          <w:color w:val="333333"/>
          <w:sz w:val="24"/>
          <w:szCs w:val="24"/>
          <w:highlight w:val="white"/>
        </w:rPr>
        <w:t>formatted and merged originally separated columns  - ‘YR’ for year, and ‘MN’ for month</w:t>
      </w:r>
      <w:r w:rsidR="002A6464">
        <w:rPr>
          <w:color w:val="333333"/>
          <w:sz w:val="24"/>
          <w:szCs w:val="24"/>
          <w:highlight w:val="white"/>
        </w:rPr>
        <w:t xml:space="preserve"> </w:t>
      </w:r>
      <w:r w:rsidR="00B234F8">
        <w:rPr>
          <w:color w:val="333333"/>
          <w:sz w:val="24"/>
          <w:szCs w:val="24"/>
          <w:highlight w:val="white"/>
        </w:rPr>
        <w:t xml:space="preserve">– to </w:t>
      </w:r>
      <w:proofErr w:type="spellStart"/>
      <w:r w:rsidR="00B234F8">
        <w:rPr>
          <w:color w:val="333333"/>
          <w:sz w:val="24"/>
          <w:szCs w:val="24"/>
          <w:highlight w:val="white"/>
        </w:rPr>
        <w:t>yyyy</w:t>
      </w:r>
      <w:proofErr w:type="spellEnd"/>
      <w:r w:rsidR="00B234F8">
        <w:rPr>
          <w:color w:val="333333"/>
          <w:sz w:val="24"/>
          <w:szCs w:val="24"/>
          <w:highlight w:val="white"/>
        </w:rPr>
        <w:t>/mm/</w:t>
      </w:r>
      <w:proofErr w:type="spellStart"/>
      <w:r w:rsidR="00B234F8">
        <w:rPr>
          <w:color w:val="333333"/>
          <w:sz w:val="24"/>
          <w:szCs w:val="24"/>
          <w:highlight w:val="white"/>
        </w:rPr>
        <w:t>dd</w:t>
      </w:r>
      <w:proofErr w:type="spellEnd"/>
      <w:r w:rsidR="00B234F8">
        <w:rPr>
          <w:color w:val="333333"/>
          <w:sz w:val="24"/>
          <w:szCs w:val="24"/>
          <w:highlight w:val="white"/>
        </w:rPr>
        <w:t xml:space="preserve"> format and added a new column “Date”. Then I used </w:t>
      </w:r>
      <w:proofErr w:type="spellStart"/>
      <w:r w:rsidR="00B234F8" w:rsidRPr="00B234F8">
        <w:rPr>
          <w:color w:val="333333"/>
          <w:sz w:val="24"/>
          <w:szCs w:val="24"/>
        </w:rPr>
        <w:t>groupby</w:t>
      </w:r>
      <w:proofErr w:type="spellEnd"/>
      <w:r w:rsidR="00B234F8">
        <w:rPr>
          <w:color w:val="333333"/>
          <w:sz w:val="24"/>
          <w:szCs w:val="24"/>
        </w:rPr>
        <w:t xml:space="preserve"> function to group and sum up data in every column and new data frame: </w:t>
      </w:r>
    </w:p>
    <w:tbl>
      <w:tblPr>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shd w:val="clear" w:color="auto" w:fill="FFFFFF"/>
        <w:tblCellMar>
          <w:top w:w="15" w:type="dxa"/>
          <w:left w:w="15" w:type="dxa"/>
          <w:bottom w:w="15" w:type="dxa"/>
          <w:right w:w="15" w:type="dxa"/>
        </w:tblCellMar>
        <w:tblLook w:val="04A0" w:firstRow="1" w:lastRow="0" w:firstColumn="1" w:lastColumn="0" w:noHBand="0" w:noVBand="1"/>
      </w:tblPr>
      <w:tblGrid>
        <w:gridCol w:w="1348"/>
        <w:gridCol w:w="1162"/>
        <w:gridCol w:w="1268"/>
        <w:gridCol w:w="999"/>
        <w:gridCol w:w="1121"/>
      </w:tblGrid>
      <w:tr w:rsidR="00B234F8" w:rsidRPr="00B234F8" w:rsidTr="00C83700">
        <w:trPr>
          <w:trHeight w:val="250"/>
          <w:tblHeader/>
        </w:trPr>
        <w:tc>
          <w:tcPr>
            <w:tcW w:w="1348" w:type="dxa"/>
            <w:shd w:val="clear" w:color="auto" w:fill="FFFFFF"/>
            <w:tcMar>
              <w:top w:w="60" w:type="dxa"/>
              <w:left w:w="60" w:type="dxa"/>
              <w:bottom w:w="60" w:type="dxa"/>
              <w:right w:w="60" w:type="dxa"/>
            </w:tcMar>
            <w:vAlign w:val="center"/>
            <w:hideMark/>
          </w:tcPr>
          <w:p w:rsidR="00B234F8" w:rsidRPr="00C83700" w:rsidRDefault="00B234F8" w:rsidP="00C83700">
            <w:pPr>
              <w:spacing w:before="20" w:afterAutospacing="1" w:line="240" w:lineRule="auto"/>
              <w:rPr>
                <w:bCs/>
                <w:color w:val="333333"/>
                <w:sz w:val="20"/>
                <w:szCs w:val="20"/>
                <w:highlight w:val="white"/>
              </w:rPr>
            </w:pPr>
            <w:r w:rsidRPr="00C83700">
              <w:rPr>
                <w:bCs/>
                <w:color w:val="333333"/>
                <w:sz w:val="20"/>
                <w:szCs w:val="20"/>
                <w:highlight w:val="white"/>
              </w:rPr>
              <w:t>Date</w:t>
            </w:r>
          </w:p>
        </w:tc>
        <w:tc>
          <w:tcPr>
            <w:tcW w:w="1162" w:type="dxa"/>
            <w:shd w:val="clear" w:color="auto" w:fill="FFFFFF"/>
            <w:tcMar>
              <w:top w:w="60" w:type="dxa"/>
              <w:left w:w="60" w:type="dxa"/>
              <w:bottom w:w="60" w:type="dxa"/>
              <w:right w:w="60" w:type="dxa"/>
            </w:tcMar>
            <w:vAlign w:val="center"/>
            <w:hideMark/>
          </w:tcPr>
          <w:p w:rsidR="00B234F8" w:rsidRPr="00C83700" w:rsidRDefault="00B234F8" w:rsidP="00C83700">
            <w:pPr>
              <w:spacing w:before="20" w:afterAutospacing="1" w:line="240" w:lineRule="auto"/>
              <w:rPr>
                <w:bCs/>
                <w:color w:val="333333"/>
                <w:sz w:val="20"/>
                <w:szCs w:val="20"/>
                <w:highlight w:val="white"/>
              </w:rPr>
            </w:pPr>
            <w:r w:rsidRPr="00C83700">
              <w:rPr>
                <w:bCs/>
                <w:color w:val="333333"/>
                <w:sz w:val="20"/>
                <w:szCs w:val="20"/>
                <w:highlight w:val="white"/>
              </w:rPr>
              <w:t>Fatalities</w:t>
            </w:r>
          </w:p>
        </w:tc>
        <w:tc>
          <w:tcPr>
            <w:tcW w:w="0" w:type="auto"/>
            <w:shd w:val="clear" w:color="auto" w:fill="FFFFFF"/>
            <w:tcMar>
              <w:top w:w="60" w:type="dxa"/>
              <w:left w:w="60" w:type="dxa"/>
              <w:bottom w:w="60" w:type="dxa"/>
              <w:right w:w="60" w:type="dxa"/>
            </w:tcMar>
            <w:vAlign w:val="center"/>
            <w:hideMark/>
          </w:tcPr>
          <w:p w:rsidR="00B234F8" w:rsidRPr="00C83700" w:rsidRDefault="00B234F8" w:rsidP="00C83700">
            <w:pPr>
              <w:spacing w:before="20" w:afterAutospacing="1" w:line="240" w:lineRule="auto"/>
              <w:rPr>
                <w:bCs/>
                <w:color w:val="333333"/>
                <w:sz w:val="20"/>
                <w:szCs w:val="20"/>
                <w:highlight w:val="white"/>
              </w:rPr>
            </w:pPr>
            <w:proofErr w:type="spellStart"/>
            <w:r w:rsidRPr="00C83700">
              <w:rPr>
                <w:bCs/>
                <w:color w:val="333333"/>
                <w:sz w:val="20"/>
                <w:szCs w:val="20"/>
                <w:highlight w:val="white"/>
              </w:rPr>
              <w:t>PedFatalit</w:t>
            </w:r>
            <w:proofErr w:type="spellEnd"/>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jc w:val="center"/>
              <w:rPr>
                <w:bCs/>
                <w:color w:val="333333"/>
                <w:sz w:val="20"/>
                <w:szCs w:val="20"/>
                <w:highlight w:val="white"/>
              </w:rPr>
            </w:pPr>
            <w:proofErr w:type="spellStart"/>
            <w:r w:rsidRPr="00C83700">
              <w:rPr>
                <w:bCs/>
                <w:color w:val="333333"/>
                <w:sz w:val="20"/>
                <w:szCs w:val="20"/>
                <w:highlight w:val="white"/>
              </w:rPr>
              <w:t>BikeFatali</w:t>
            </w:r>
            <w:proofErr w:type="spellEnd"/>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jc w:val="center"/>
              <w:rPr>
                <w:bCs/>
                <w:color w:val="333333"/>
                <w:sz w:val="20"/>
                <w:szCs w:val="20"/>
                <w:highlight w:val="white"/>
              </w:rPr>
            </w:pPr>
            <w:proofErr w:type="spellStart"/>
            <w:r w:rsidRPr="00C83700">
              <w:rPr>
                <w:bCs/>
                <w:color w:val="333333"/>
                <w:sz w:val="20"/>
                <w:szCs w:val="20"/>
                <w:highlight w:val="white"/>
              </w:rPr>
              <w:t>MVOFatalit</w:t>
            </w:r>
            <w:proofErr w:type="spellEnd"/>
          </w:p>
        </w:tc>
      </w:tr>
      <w:tr w:rsidR="00B234F8" w:rsidRPr="00B234F8" w:rsidTr="00C83700">
        <w:trPr>
          <w:trHeight w:val="250"/>
        </w:trPr>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2009-01-01</w:t>
            </w:r>
          </w:p>
        </w:tc>
        <w:tc>
          <w:tcPr>
            <w:tcW w:w="1162"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733</w:t>
            </w:r>
          </w:p>
        </w:tc>
        <w:tc>
          <w:tcPr>
            <w:tcW w:w="1268"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649</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0</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84</w:t>
            </w:r>
          </w:p>
        </w:tc>
      </w:tr>
      <w:tr w:rsidR="00B234F8" w:rsidRPr="00B234F8" w:rsidTr="00C83700">
        <w:trPr>
          <w:trHeight w:val="250"/>
        </w:trPr>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2009-02-01</w:t>
            </w:r>
          </w:p>
        </w:tc>
        <w:tc>
          <w:tcPr>
            <w:tcW w:w="1162"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830</w:t>
            </w:r>
          </w:p>
        </w:tc>
        <w:tc>
          <w:tcPr>
            <w:tcW w:w="1268"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646</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0</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184</w:t>
            </w:r>
          </w:p>
        </w:tc>
      </w:tr>
      <w:tr w:rsidR="00B234F8" w:rsidRPr="00B234F8" w:rsidTr="00C83700">
        <w:trPr>
          <w:trHeight w:val="250"/>
        </w:trPr>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2009-03-01</w:t>
            </w:r>
          </w:p>
        </w:tc>
        <w:tc>
          <w:tcPr>
            <w:tcW w:w="1162"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253</w:t>
            </w:r>
          </w:p>
        </w:tc>
        <w:tc>
          <w:tcPr>
            <w:tcW w:w="1268"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226</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6</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21</w:t>
            </w:r>
          </w:p>
        </w:tc>
      </w:tr>
      <w:tr w:rsidR="00B234F8" w:rsidRPr="00B234F8" w:rsidTr="00C83700">
        <w:trPr>
          <w:trHeight w:val="250"/>
        </w:trPr>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2009-04-01</w:t>
            </w:r>
          </w:p>
        </w:tc>
        <w:tc>
          <w:tcPr>
            <w:tcW w:w="1162"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679</w:t>
            </w:r>
          </w:p>
        </w:tc>
        <w:tc>
          <w:tcPr>
            <w:tcW w:w="1268" w:type="dxa"/>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263</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40</w:t>
            </w:r>
          </w:p>
        </w:tc>
        <w:tc>
          <w:tcPr>
            <w:tcW w:w="0" w:type="auto"/>
            <w:shd w:val="clear" w:color="auto" w:fill="FFFFFF"/>
            <w:tcMar>
              <w:top w:w="60" w:type="dxa"/>
              <w:left w:w="60" w:type="dxa"/>
              <w:bottom w:w="60" w:type="dxa"/>
              <w:right w:w="60" w:type="dxa"/>
            </w:tcMar>
            <w:vAlign w:val="center"/>
            <w:hideMark/>
          </w:tcPr>
          <w:p w:rsidR="00B234F8" w:rsidRPr="00C83700" w:rsidRDefault="00B234F8" w:rsidP="00B234F8">
            <w:pPr>
              <w:spacing w:before="20" w:afterAutospacing="1" w:line="240" w:lineRule="auto"/>
              <w:rPr>
                <w:color w:val="333333"/>
                <w:sz w:val="20"/>
                <w:szCs w:val="20"/>
                <w:highlight w:val="white"/>
              </w:rPr>
            </w:pPr>
            <w:r w:rsidRPr="00C83700">
              <w:rPr>
                <w:color w:val="333333"/>
                <w:sz w:val="20"/>
                <w:szCs w:val="20"/>
                <w:highlight w:val="white"/>
              </w:rPr>
              <w:t>376</w:t>
            </w:r>
          </w:p>
        </w:tc>
      </w:tr>
    </w:tbl>
    <w:p w:rsidR="00AE4479" w:rsidRDefault="00AE4479" w:rsidP="00687062">
      <w:pPr>
        <w:spacing w:before="20" w:afterAutospacing="1" w:line="240" w:lineRule="auto"/>
        <w:rPr>
          <w:b/>
          <w:color w:val="333333"/>
          <w:sz w:val="24"/>
          <w:szCs w:val="24"/>
          <w:highlight w:val="white"/>
        </w:rPr>
      </w:pPr>
    </w:p>
    <w:p w:rsidR="00F200FD" w:rsidRPr="00850622" w:rsidRDefault="00F37C75" w:rsidP="00F200FD">
      <w:pPr>
        <w:pStyle w:val="NoSpacing"/>
        <w:rPr>
          <w:sz w:val="24"/>
          <w:szCs w:val="24"/>
          <w:highlight w:val="white"/>
        </w:rPr>
      </w:pPr>
      <w:r w:rsidRPr="00850622">
        <w:rPr>
          <w:sz w:val="24"/>
          <w:szCs w:val="24"/>
        </w:rPr>
        <w:lastRenderedPageBreak/>
        <w:t xml:space="preserve">The same principle I used </w:t>
      </w:r>
      <w:r w:rsidR="00F200FD" w:rsidRPr="00850622">
        <w:rPr>
          <w:sz w:val="24"/>
          <w:szCs w:val="24"/>
        </w:rPr>
        <w:t>to format</w:t>
      </w:r>
      <w:r w:rsidRPr="00850622">
        <w:rPr>
          <w:sz w:val="24"/>
          <w:szCs w:val="24"/>
        </w:rPr>
        <w:t xml:space="preserve"> geospatial data set</w:t>
      </w:r>
      <w:r w:rsidR="00F200FD" w:rsidRPr="00850622">
        <w:rPr>
          <w:sz w:val="24"/>
          <w:szCs w:val="24"/>
        </w:rPr>
        <w:t xml:space="preserve">. Also for </w:t>
      </w:r>
      <w:r w:rsidRPr="00850622">
        <w:rPr>
          <w:sz w:val="24"/>
          <w:szCs w:val="24"/>
        </w:rPr>
        <w:t xml:space="preserve"> </w:t>
      </w:r>
      <w:r w:rsidR="00F200FD" w:rsidRPr="00850622">
        <w:rPr>
          <w:sz w:val="24"/>
          <w:szCs w:val="24"/>
        </w:rPr>
        <w:t xml:space="preserve">datasets for heatmaps I converted ‘0’ to </w:t>
      </w:r>
      <w:proofErr w:type="spellStart"/>
      <w:r w:rsidR="00F200FD" w:rsidRPr="00850622">
        <w:rPr>
          <w:sz w:val="24"/>
          <w:szCs w:val="24"/>
        </w:rPr>
        <w:t>NaN</w:t>
      </w:r>
      <w:proofErr w:type="spellEnd"/>
      <w:r w:rsidR="00F200FD" w:rsidRPr="00850622">
        <w:rPr>
          <w:sz w:val="24"/>
          <w:szCs w:val="24"/>
        </w:rPr>
        <w:t xml:space="preserve"> and drop </w:t>
      </w:r>
      <w:proofErr w:type="spellStart"/>
      <w:r w:rsidR="00F200FD" w:rsidRPr="00850622">
        <w:rPr>
          <w:sz w:val="24"/>
          <w:szCs w:val="24"/>
        </w:rPr>
        <w:t>NaN’s</w:t>
      </w:r>
      <w:proofErr w:type="spellEnd"/>
      <w:r w:rsidR="00F200FD" w:rsidRPr="00850622">
        <w:rPr>
          <w:sz w:val="24"/>
          <w:szCs w:val="24"/>
        </w:rPr>
        <w:t xml:space="preserve"> with function </w:t>
      </w:r>
      <w:proofErr w:type="spellStart"/>
      <w:r w:rsidR="00F200FD" w:rsidRPr="00850622">
        <w:rPr>
          <w:sz w:val="24"/>
          <w:szCs w:val="24"/>
        </w:rPr>
        <w:t>dropna</w:t>
      </w:r>
      <w:proofErr w:type="spellEnd"/>
      <w:r w:rsidR="00F200FD" w:rsidRPr="00850622">
        <w:rPr>
          <w:sz w:val="24"/>
          <w:szCs w:val="24"/>
        </w:rPr>
        <w:t xml:space="preserve">. It was done </w:t>
      </w:r>
      <w:r w:rsidR="006229E3" w:rsidRPr="00850622">
        <w:rPr>
          <w:sz w:val="24"/>
          <w:szCs w:val="24"/>
        </w:rPr>
        <w:t>to</w:t>
      </w:r>
      <w:r w:rsidR="00F200FD" w:rsidRPr="00850622">
        <w:rPr>
          <w:sz w:val="24"/>
          <w:szCs w:val="24"/>
        </w:rPr>
        <w:t xml:space="preserve"> </w:t>
      </w:r>
      <w:r w:rsidR="00F200FD" w:rsidRPr="00850622">
        <w:rPr>
          <w:sz w:val="24"/>
          <w:szCs w:val="24"/>
          <w:highlight w:val="white"/>
        </w:rPr>
        <w:t>make sure that ‘0’ are not counted as points.</w:t>
      </w:r>
    </w:p>
    <w:p w:rsidR="00F200FD" w:rsidRPr="00850622" w:rsidRDefault="00F200FD" w:rsidP="00F200FD">
      <w:pPr>
        <w:pStyle w:val="NoSpacing"/>
        <w:rPr>
          <w:sz w:val="24"/>
          <w:szCs w:val="24"/>
          <w:highlight w:val="white"/>
        </w:rPr>
      </w:pPr>
      <w:r w:rsidRPr="00850622">
        <w:rPr>
          <w:sz w:val="24"/>
          <w:szCs w:val="24"/>
          <w:highlight w:val="white"/>
        </w:rPr>
        <w:t>For example, dataset of Pedestrians fatalities prepared for heatmap:</w:t>
      </w:r>
    </w:p>
    <w:p w:rsidR="00F200FD" w:rsidRDefault="00F200FD" w:rsidP="00F200FD">
      <w:pPr>
        <w:pStyle w:val="NoSpacing"/>
        <w:rPr>
          <w:highlight w:val="white"/>
        </w:rPr>
      </w:pPr>
    </w:p>
    <w:p w:rsidR="00F200FD" w:rsidRPr="00850622" w:rsidRDefault="00F200FD" w:rsidP="00F200FD">
      <w:pPr>
        <w:pStyle w:val="NoSpacing"/>
        <w:rPr>
          <w:sz w:val="20"/>
          <w:szCs w:val="20"/>
        </w:rPr>
      </w:pPr>
      <w:proofErr w:type="spellStart"/>
      <w:r w:rsidRPr="00850622">
        <w:rPr>
          <w:sz w:val="20"/>
          <w:szCs w:val="20"/>
        </w:rPr>
        <w:t>PedFatalit</w:t>
      </w:r>
      <w:proofErr w:type="spellEnd"/>
      <w:r w:rsidRPr="00850622">
        <w:rPr>
          <w:sz w:val="20"/>
          <w:szCs w:val="20"/>
        </w:rPr>
        <w:tab/>
        <w:t>Date</w:t>
      </w:r>
      <w:r w:rsidRPr="00850622">
        <w:rPr>
          <w:sz w:val="20"/>
          <w:szCs w:val="20"/>
        </w:rPr>
        <w:tab/>
      </w:r>
      <w:r w:rsidRPr="00850622">
        <w:rPr>
          <w:sz w:val="20"/>
          <w:szCs w:val="20"/>
        </w:rPr>
        <w:tab/>
      </w:r>
      <w:r w:rsidRPr="00850622">
        <w:rPr>
          <w:sz w:val="20"/>
          <w:szCs w:val="20"/>
        </w:rPr>
        <w:t>geometry</w:t>
      </w:r>
    </w:p>
    <w:p w:rsidR="00F200FD" w:rsidRPr="00850622" w:rsidRDefault="00F200FD" w:rsidP="00F200FD">
      <w:pPr>
        <w:pStyle w:val="NoSpacing"/>
        <w:rPr>
          <w:sz w:val="20"/>
          <w:szCs w:val="20"/>
        </w:rPr>
      </w:pPr>
      <w:r w:rsidRPr="00850622">
        <w:rPr>
          <w:sz w:val="20"/>
          <w:szCs w:val="20"/>
        </w:rPr>
        <w:t>1.0</w:t>
      </w:r>
      <w:r w:rsidRPr="00850622">
        <w:rPr>
          <w:sz w:val="20"/>
          <w:szCs w:val="20"/>
        </w:rPr>
        <w:tab/>
      </w:r>
      <w:r w:rsidRPr="00850622">
        <w:rPr>
          <w:sz w:val="20"/>
          <w:szCs w:val="20"/>
        </w:rPr>
        <w:tab/>
      </w:r>
      <w:r w:rsidRPr="00850622">
        <w:rPr>
          <w:sz w:val="20"/>
          <w:szCs w:val="20"/>
        </w:rPr>
        <w:t>2009-10-01</w:t>
      </w:r>
      <w:r w:rsidRPr="00850622">
        <w:rPr>
          <w:sz w:val="20"/>
          <w:szCs w:val="20"/>
        </w:rPr>
        <w:tab/>
        <w:t>POINT (-73.89052628583379 40.81151194094214)</w:t>
      </w:r>
    </w:p>
    <w:p w:rsidR="00F200FD" w:rsidRPr="00850622" w:rsidRDefault="00F200FD" w:rsidP="00F200FD">
      <w:pPr>
        <w:pStyle w:val="NoSpacing"/>
        <w:rPr>
          <w:sz w:val="20"/>
          <w:szCs w:val="20"/>
        </w:rPr>
      </w:pPr>
      <w:r w:rsidRPr="00850622">
        <w:rPr>
          <w:sz w:val="20"/>
          <w:szCs w:val="20"/>
        </w:rPr>
        <w:t>1.0</w:t>
      </w:r>
      <w:r w:rsidRPr="00850622">
        <w:rPr>
          <w:sz w:val="20"/>
          <w:szCs w:val="20"/>
        </w:rPr>
        <w:tab/>
      </w:r>
      <w:r w:rsidRPr="00850622">
        <w:rPr>
          <w:sz w:val="20"/>
          <w:szCs w:val="20"/>
        </w:rPr>
        <w:tab/>
      </w:r>
      <w:r w:rsidRPr="00850622">
        <w:rPr>
          <w:sz w:val="20"/>
          <w:szCs w:val="20"/>
        </w:rPr>
        <w:t>2009-10-01</w:t>
      </w:r>
      <w:r w:rsidRPr="00850622">
        <w:rPr>
          <w:sz w:val="20"/>
          <w:szCs w:val="20"/>
        </w:rPr>
        <w:tab/>
        <w:t>POINT (-73.9002758732755 40.86378763472604)</w:t>
      </w:r>
    </w:p>
    <w:p w:rsidR="00F200FD" w:rsidRPr="00850622" w:rsidRDefault="00F200FD" w:rsidP="00F200FD">
      <w:pPr>
        <w:pStyle w:val="NoSpacing"/>
        <w:rPr>
          <w:sz w:val="20"/>
          <w:szCs w:val="20"/>
        </w:rPr>
      </w:pPr>
      <w:r w:rsidRPr="00850622">
        <w:rPr>
          <w:sz w:val="20"/>
          <w:szCs w:val="20"/>
        </w:rPr>
        <w:t>1.0</w:t>
      </w:r>
      <w:r w:rsidRPr="00850622">
        <w:rPr>
          <w:sz w:val="20"/>
          <w:szCs w:val="20"/>
        </w:rPr>
        <w:tab/>
      </w:r>
      <w:r w:rsidRPr="00850622">
        <w:rPr>
          <w:sz w:val="20"/>
          <w:szCs w:val="20"/>
        </w:rPr>
        <w:tab/>
      </w:r>
      <w:r w:rsidRPr="00850622">
        <w:rPr>
          <w:sz w:val="20"/>
          <w:szCs w:val="20"/>
        </w:rPr>
        <w:t>2009-10-01</w:t>
      </w:r>
      <w:r w:rsidRPr="00850622">
        <w:rPr>
          <w:sz w:val="20"/>
          <w:szCs w:val="20"/>
        </w:rPr>
        <w:tab/>
        <w:t>POINT (-73.96759867796442 40.58037846976183)</w:t>
      </w:r>
    </w:p>
    <w:p w:rsidR="00F200FD" w:rsidRPr="00850622" w:rsidRDefault="00F200FD" w:rsidP="00F200FD">
      <w:pPr>
        <w:pStyle w:val="NoSpacing"/>
        <w:rPr>
          <w:sz w:val="20"/>
          <w:szCs w:val="20"/>
        </w:rPr>
      </w:pPr>
      <w:r w:rsidRPr="00850622">
        <w:rPr>
          <w:sz w:val="20"/>
          <w:szCs w:val="20"/>
        </w:rPr>
        <w:t>1.0</w:t>
      </w:r>
      <w:r w:rsidRPr="00850622">
        <w:rPr>
          <w:sz w:val="20"/>
          <w:szCs w:val="20"/>
        </w:rPr>
        <w:tab/>
      </w:r>
      <w:r w:rsidRPr="00850622">
        <w:rPr>
          <w:sz w:val="20"/>
          <w:szCs w:val="20"/>
        </w:rPr>
        <w:tab/>
      </w:r>
      <w:r w:rsidRPr="00850622">
        <w:rPr>
          <w:sz w:val="20"/>
          <w:szCs w:val="20"/>
        </w:rPr>
        <w:t>2009-10-01</w:t>
      </w:r>
      <w:r w:rsidRPr="00850622">
        <w:rPr>
          <w:sz w:val="20"/>
          <w:szCs w:val="20"/>
        </w:rPr>
        <w:tab/>
        <w:t>POINT (-73.86272633841989 40.74986793616723)</w:t>
      </w:r>
    </w:p>
    <w:p w:rsidR="00F200FD" w:rsidRPr="00850622" w:rsidRDefault="00F200FD" w:rsidP="00F200FD">
      <w:pPr>
        <w:pStyle w:val="NoSpacing"/>
        <w:rPr>
          <w:sz w:val="20"/>
          <w:szCs w:val="20"/>
          <w:highlight w:val="white"/>
        </w:rPr>
      </w:pPr>
      <w:r w:rsidRPr="00850622">
        <w:rPr>
          <w:sz w:val="20"/>
          <w:szCs w:val="20"/>
        </w:rPr>
        <w:t>1.0</w:t>
      </w:r>
      <w:r w:rsidRPr="00850622">
        <w:rPr>
          <w:sz w:val="20"/>
          <w:szCs w:val="20"/>
        </w:rPr>
        <w:tab/>
      </w:r>
      <w:r w:rsidRPr="00850622">
        <w:rPr>
          <w:sz w:val="20"/>
          <w:szCs w:val="20"/>
        </w:rPr>
        <w:tab/>
      </w:r>
      <w:r w:rsidRPr="00850622">
        <w:rPr>
          <w:sz w:val="20"/>
          <w:szCs w:val="20"/>
        </w:rPr>
        <w:t>2009-10-01</w:t>
      </w:r>
      <w:r w:rsidRPr="00850622">
        <w:rPr>
          <w:sz w:val="20"/>
          <w:szCs w:val="20"/>
        </w:rPr>
        <w:tab/>
        <w:t>POINT (-73.98134068728926 40.74707866223923)</w:t>
      </w:r>
    </w:p>
    <w:p w:rsidR="00AF50EA" w:rsidRDefault="00AF50EA" w:rsidP="00ED24FB">
      <w:pPr>
        <w:pStyle w:val="NoSpacing"/>
        <w:rPr>
          <w:b/>
          <w:color w:val="333333"/>
          <w:sz w:val="24"/>
          <w:szCs w:val="24"/>
          <w:highlight w:val="white"/>
        </w:rPr>
      </w:pPr>
    </w:p>
    <w:p w:rsidR="00ED24FB" w:rsidRDefault="00602B33" w:rsidP="00ED24FB">
      <w:pPr>
        <w:pStyle w:val="NoSpacing"/>
        <w:rPr>
          <w:sz w:val="24"/>
          <w:szCs w:val="24"/>
          <w:highlight w:val="white"/>
        </w:rPr>
      </w:pPr>
      <w:r>
        <w:rPr>
          <w:noProof/>
        </w:rPr>
        <w:drawing>
          <wp:anchor distT="0" distB="0" distL="114300" distR="114300" simplePos="0" relativeHeight="251657728" behindDoc="0" locked="0" layoutInCell="1" allowOverlap="1">
            <wp:simplePos x="0" y="0"/>
            <wp:positionH relativeFrom="column">
              <wp:posOffset>3430632</wp:posOffset>
            </wp:positionH>
            <wp:positionV relativeFrom="paragraph">
              <wp:posOffset>3175</wp:posOffset>
            </wp:positionV>
            <wp:extent cx="3227070" cy="2435860"/>
            <wp:effectExtent l="0" t="0" r="0" b="2540"/>
            <wp:wrapSquare wrapText="bothSides"/>
            <wp:docPr id="1" name="Picture 1" descr="C:\Users\akali\AppData\Local\Microsoft\Windows\INetCacheContent.Word\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li\AppData\Local\Microsoft\Windows\INetCacheContent.Word\P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7070" cy="243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D63BD" w:rsidRPr="00ED24FB">
        <w:rPr>
          <w:b/>
          <w:color w:val="333333"/>
          <w:sz w:val="24"/>
          <w:szCs w:val="24"/>
          <w:highlight w:val="white"/>
        </w:rPr>
        <w:t xml:space="preserve">Methodology: </w:t>
      </w:r>
      <w:r w:rsidR="00ED24FB" w:rsidRPr="00ED24FB">
        <w:rPr>
          <w:sz w:val="24"/>
          <w:szCs w:val="24"/>
          <w:highlight w:val="white"/>
        </w:rPr>
        <w:t xml:space="preserve">To show a trend of fatalities for every major group I created a statistical model using ordinary least square. This model clearly visualized data within a date range (2009-2016) and showed a trend. </w:t>
      </w:r>
    </w:p>
    <w:p w:rsidR="00C83700" w:rsidRPr="00ED24FB" w:rsidRDefault="00C83700" w:rsidP="00ED24FB">
      <w:pPr>
        <w:pStyle w:val="NoSpacing"/>
        <w:rPr>
          <w:sz w:val="24"/>
          <w:szCs w:val="24"/>
          <w:highlight w:val="white"/>
        </w:rPr>
      </w:pPr>
    </w:p>
    <w:p w:rsidR="00ED24FB" w:rsidRPr="00ED24FB" w:rsidRDefault="00ED24FB" w:rsidP="00ED24FB">
      <w:pPr>
        <w:pStyle w:val="NoSpacing"/>
        <w:rPr>
          <w:sz w:val="24"/>
          <w:szCs w:val="24"/>
          <w:highlight w:val="white"/>
        </w:rPr>
      </w:pPr>
      <w:r w:rsidRPr="00ED24FB">
        <w:rPr>
          <w:sz w:val="24"/>
          <w:szCs w:val="24"/>
          <w:highlight w:val="white"/>
        </w:rPr>
        <w:t>This model can be used in similar contexts:</w:t>
      </w:r>
    </w:p>
    <w:p w:rsidR="00ED24FB" w:rsidRPr="00ED24FB" w:rsidRDefault="00ED24FB" w:rsidP="00ED24FB">
      <w:pPr>
        <w:pStyle w:val="NoSpacing"/>
        <w:rPr>
          <w:sz w:val="20"/>
          <w:szCs w:val="20"/>
        </w:rPr>
      </w:pPr>
      <w:r w:rsidRPr="00ED24FB">
        <w:rPr>
          <w:sz w:val="20"/>
          <w:szCs w:val="20"/>
        </w:rPr>
        <w:t>x = [</w:t>
      </w:r>
      <w:proofErr w:type="spellStart"/>
      <w:r w:rsidRPr="00ED24FB">
        <w:rPr>
          <w:sz w:val="20"/>
          <w:szCs w:val="20"/>
        </w:rPr>
        <w:t>i</w:t>
      </w:r>
      <w:proofErr w:type="spellEnd"/>
      <w:r w:rsidRPr="00ED24FB">
        <w:rPr>
          <w:sz w:val="20"/>
          <w:szCs w:val="20"/>
        </w:rPr>
        <w:t xml:space="preserve"> for </w:t>
      </w:r>
      <w:proofErr w:type="spellStart"/>
      <w:r w:rsidRPr="00ED24FB">
        <w:rPr>
          <w:sz w:val="20"/>
          <w:szCs w:val="20"/>
        </w:rPr>
        <w:t>i</w:t>
      </w:r>
      <w:proofErr w:type="spellEnd"/>
      <w:r w:rsidRPr="00ED24FB">
        <w:rPr>
          <w:sz w:val="20"/>
          <w:szCs w:val="20"/>
        </w:rPr>
        <w:t xml:space="preserve"> in range(0,len(fatalities_data_monthly_v2))] </w:t>
      </w:r>
    </w:p>
    <w:p w:rsidR="00ED24FB" w:rsidRDefault="00ED24FB" w:rsidP="00ED24FB">
      <w:pPr>
        <w:pStyle w:val="NoSpacing"/>
        <w:rPr>
          <w:sz w:val="20"/>
          <w:szCs w:val="20"/>
          <w:highlight w:val="white"/>
        </w:rPr>
      </w:pPr>
      <w:r w:rsidRPr="00ED24FB">
        <w:rPr>
          <w:sz w:val="20"/>
          <w:szCs w:val="20"/>
        </w:rPr>
        <w:t xml:space="preserve">model = </w:t>
      </w:r>
      <w:proofErr w:type="spellStart"/>
      <w:r w:rsidRPr="00ED24FB">
        <w:rPr>
          <w:sz w:val="20"/>
          <w:szCs w:val="20"/>
        </w:rPr>
        <w:t>sm.OLS</w:t>
      </w:r>
      <w:proofErr w:type="spellEnd"/>
      <w:r w:rsidRPr="00ED24FB">
        <w:rPr>
          <w:sz w:val="20"/>
          <w:szCs w:val="20"/>
        </w:rPr>
        <w:t xml:space="preserve">(fatalities_data_monthly_v2['Fatalities'], </w:t>
      </w:r>
      <w:proofErr w:type="spellStart"/>
      <w:r w:rsidRPr="00ED24FB">
        <w:rPr>
          <w:sz w:val="20"/>
          <w:szCs w:val="20"/>
        </w:rPr>
        <w:t>sm.add_constant</w:t>
      </w:r>
      <w:proofErr w:type="spellEnd"/>
      <w:r w:rsidRPr="00ED24FB">
        <w:rPr>
          <w:sz w:val="20"/>
          <w:szCs w:val="20"/>
        </w:rPr>
        <w:t>(x)).fit()</w:t>
      </w:r>
      <w:r w:rsidRPr="00ED24FB">
        <w:rPr>
          <w:sz w:val="20"/>
          <w:szCs w:val="20"/>
          <w:highlight w:val="white"/>
        </w:rPr>
        <w:t xml:space="preserve"> </w:t>
      </w:r>
    </w:p>
    <w:p w:rsidR="008709B9" w:rsidRDefault="008709B9" w:rsidP="00ED24FB">
      <w:pPr>
        <w:pStyle w:val="NoSpacing"/>
        <w:rPr>
          <w:sz w:val="20"/>
          <w:szCs w:val="20"/>
          <w:highlight w:val="white"/>
        </w:rPr>
      </w:pPr>
    </w:p>
    <w:p w:rsidR="008709B9" w:rsidRDefault="008709B9" w:rsidP="00ED24FB">
      <w:pPr>
        <w:pStyle w:val="NoSpacing"/>
        <w:rPr>
          <w:sz w:val="20"/>
          <w:szCs w:val="20"/>
          <w:highlight w:val="white"/>
        </w:rPr>
      </w:pPr>
    </w:p>
    <w:p w:rsidR="00ED24FB" w:rsidRPr="00ED24FB" w:rsidRDefault="00ED24FB" w:rsidP="00ED24FB">
      <w:pPr>
        <w:pStyle w:val="NoSpacing"/>
        <w:rPr>
          <w:sz w:val="24"/>
          <w:szCs w:val="24"/>
          <w:highlight w:val="white"/>
        </w:rPr>
      </w:pPr>
      <w:r w:rsidRPr="00ED24FB">
        <w:rPr>
          <w:sz w:val="20"/>
          <w:szCs w:val="20"/>
          <w:highlight w:val="white"/>
        </w:rPr>
        <w:t xml:space="preserve">    </w:t>
      </w:r>
    </w:p>
    <w:p w:rsidR="00BB5F2F" w:rsidRDefault="00BB5F2F" w:rsidP="00ED24FB">
      <w:pPr>
        <w:pStyle w:val="NoSpacing"/>
        <w:rPr>
          <w:sz w:val="24"/>
          <w:szCs w:val="24"/>
          <w:highlight w:val="white"/>
        </w:rPr>
      </w:pPr>
    </w:p>
    <w:p w:rsidR="00BB5F2F" w:rsidRDefault="00BB5F2F" w:rsidP="00ED24FB">
      <w:pPr>
        <w:pStyle w:val="NoSpacing"/>
        <w:rPr>
          <w:sz w:val="24"/>
          <w:szCs w:val="24"/>
          <w:highlight w:val="white"/>
        </w:rPr>
      </w:pPr>
    </w:p>
    <w:p w:rsidR="00BB5F2F" w:rsidRDefault="00BB5F2F" w:rsidP="00ED24FB">
      <w:pPr>
        <w:pStyle w:val="NoSpacing"/>
        <w:rPr>
          <w:sz w:val="24"/>
          <w:szCs w:val="24"/>
          <w:highlight w:val="white"/>
        </w:rPr>
      </w:pPr>
    </w:p>
    <w:p w:rsidR="00ED24FB" w:rsidRPr="008709B9" w:rsidRDefault="00602B33" w:rsidP="00ED24FB">
      <w:pPr>
        <w:pStyle w:val="NoSpacing"/>
        <w:rPr>
          <w:sz w:val="24"/>
          <w:szCs w:val="24"/>
          <w:highlight w:val="white"/>
        </w:rPr>
      </w:pPr>
      <w:r>
        <w:rPr>
          <w:noProof/>
        </w:rPr>
        <w:drawing>
          <wp:anchor distT="0" distB="0" distL="114300" distR="114300" simplePos="0" relativeHeight="251660800" behindDoc="0" locked="0" layoutInCell="1" allowOverlap="1">
            <wp:simplePos x="0" y="0"/>
            <wp:positionH relativeFrom="column">
              <wp:posOffset>0</wp:posOffset>
            </wp:positionH>
            <wp:positionV relativeFrom="paragraph">
              <wp:posOffset>8890</wp:posOffset>
            </wp:positionV>
            <wp:extent cx="2896235" cy="2788920"/>
            <wp:effectExtent l="0" t="0" r="0" b="0"/>
            <wp:wrapSquare wrapText="bothSides"/>
            <wp:docPr id="2" name="Picture 2" descr="C:\Users\akali\AppData\Local\Microsoft\Windows\INetCacheContent.Word\MVO Fatalities Heatmap for 2009 -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li\AppData\Local\Microsoft\Windows\INetCacheContent.Word\MVO Fatalities Heatmap for 2009 - 20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235" cy="2788920"/>
                    </a:xfrm>
                    <a:prstGeom prst="rect">
                      <a:avLst/>
                    </a:prstGeom>
                    <a:noFill/>
                    <a:ln>
                      <a:noFill/>
                    </a:ln>
                  </pic:spPr>
                </pic:pic>
              </a:graphicData>
            </a:graphic>
          </wp:anchor>
        </w:drawing>
      </w:r>
      <w:r w:rsidR="00ED24FB" w:rsidRPr="00ED24FB">
        <w:rPr>
          <w:sz w:val="24"/>
          <w:szCs w:val="24"/>
          <w:highlight w:val="white"/>
        </w:rPr>
        <w:t xml:space="preserve">For geospatial </w:t>
      </w:r>
      <w:r w:rsidR="008709B9" w:rsidRPr="00ED24FB">
        <w:rPr>
          <w:sz w:val="24"/>
          <w:szCs w:val="24"/>
          <w:highlight w:val="white"/>
        </w:rPr>
        <w:t>analysis,</w:t>
      </w:r>
      <w:r w:rsidR="00ED24FB">
        <w:rPr>
          <w:sz w:val="24"/>
          <w:szCs w:val="24"/>
          <w:highlight w:val="white"/>
        </w:rPr>
        <w:t xml:space="preserve"> </w:t>
      </w:r>
      <w:r w:rsidR="008709B9">
        <w:rPr>
          <w:sz w:val="24"/>
          <w:szCs w:val="24"/>
          <w:highlight w:val="white"/>
        </w:rPr>
        <w:t xml:space="preserve">I </w:t>
      </w:r>
      <w:r w:rsidR="008709B9" w:rsidRPr="008709B9">
        <w:rPr>
          <w:sz w:val="24"/>
          <w:szCs w:val="24"/>
          <w:highlight w:val="white"/>
        </w:rPr>
        <w:t xml:space="preserve">used </w:t>
      </w:r>
      <w:r w:rsidR="008709B9">
        <w:rPr>
          <w:sz w:val="24"/>
          <w:szCs w:val="24"/>
          <w:highlight w:val="white"/>
        </w:rPr>
        <w:t>a</w:t>
      </w:r>
      <w:r w:rsidR="008709B9" w:rsidRPr="008709B9">
        <w:rPr>
          <w:sz w:val="24"/>
          <w:szCs w:val="24"/>
          <w:highlight w:val="white"/>
        </w:rPr>
        <w:t xml:space="preserve"> heatmap plots from </w:t>
      </w:r>
      <w:proofErr w:type="spellStart"/>
      <w:r w:rsidR="008709B9" w:rsidRPr="008709B9">
        <w:rPr>
          <w:sz w:val="24"/>
          <w:szCs w:val="24"/>
          <w:highlight w:val="white"/>
        </w:rPr>
        <w:t>geopandas</w:t>
      </w:r>
      <w:proofErr w:type="spellEnd"/>
      <w:r w:rsidR="008709B9" w:rsidRPr="008709B9">
        <w:rPr>
          <w:sz w:val="24"/>
          <w:szCs w:val="24"/>
          <w:highlight w:val="white"/>
        </w:rPr>
        <w:t xml:space="preserve"> point </w:t>
      </w:r>
      <w:proofErr w:type="spellStart"/>
      <w:r w:rsidR="008709B9" w:rsidRPr="008709B9">
        <w:rPr>
          <w:sz w:val="24"/>
          <w:szCs w:val="24"/>
          <w:highlight w:val="white"/>
        </w:rPr>
        <w:t>geodataframes</w:t>
      </w:r>
      <w:proofErr w:type="spellEnd"/>
      <w:r w:rsidR="008709B9" w:rsidRPr="008709B9">
        <w:rPr>
          <w:sz w:val="24"/>
          <w:szCs w:val="24"/>
          <w:highlight w:val="white"/>
        </w:rPr>
        <w:t>. D</w:t>
      </w:r>
      <w:r w:rsidR="008709B9" w:rsidRPr="008709B9">
        <w:rPr>
          <w:sz w:val="24"/>
          <w:szCs w:val="24"/>
          <w:highlight w:val="white"/>
        </w:rPr>
        <w:t>efine</w:t>
      </w:r>
      <w:r w:rsidR="008709B9" w:rsidRPr="008709B9">
        <w:rPr>
          <w:sz w:val="24"/>
          <w:szCs w:val="24"/>
          <w:highlight w:val="white"/>
        </w:rPr>
        <w:t>d</w:t>
      </w:r>
      <w:r w:rsidR="008709B9" w:rsidRPr="008709B9">
        <w:rPr>
          <w:sz w:val="24"/>
          <w:szCs w:val="24"/>
          <w:highlight w:val="white"/>
        </w:rPr>
        <w:t xml:space="preserve"> the</w:t>
      </w:r>
      <w:r w:rsidR="008709B9" w:rsidRPr="008709B9">
        <w:rPr>
          <w:sz w:val="24"/>
          <w:szCs w:val="24"/>
          <w:highlight w:val="white"/>
        </w:rPr>
        <w:t> heatmap </w:t>
      </w:r>
      <w:r w:rsidR="008709B9" w:rsidRPr="008709B9">
        <w:rPr>
          <w:sz w:val="24"/>
          <w:szCs w:val="24"/>
          <w:highlight w:val="white"/>
        </w:rPr>
        <w:t xml:space="preserve">function which takes a </w:t>
      </w:r>
      <w:proofErr w:type="spellStart"/>
      <w:r w:rsidR="008709B9" w:rsidRPr="008709B9">
        <w:rPr>
          <w:sz w:val="24"/>
          <w:szCs w:val="24"/>
          <w:highlight w:val="white"/>
        </w:rPr>
        <w:t>GeoDataFrame</w:t>
      </w:r>
      <w:proofErr w:type="spellEnd"/>
      <w:r w:rsidR="008709B9" w:rsidRPr="008709B9">
        <w:rPr>
          <w:sz w:val="24"/>
          <w:szCs w:val="24"/>
          <w:highlight w:val="white"/>
        </w:rPr>
        <w:t xml:space="preserve"> with point geometries and shows a </w:t>
      </w:r>
      <w:proofErr w:type="spellStart"/>
      <w:r w:rsidR="008709B9" w:rsidRPr="008709B9">
        <w:rPr>
          <w:sz w:val="24"/>
          <w:szCs w:val="24"/>
          <w:highlight w:val="white"/>
        </w:rPr>
        <w:t>matplotlib</w:t>
      </w:r>
      <w:proofErr w:type="spellEnd"/>
      <w:r w:rsidR="008709B9" w:rsidRPr="008709B9">
        <w:rPr>
          <w:sz w:val="24"/>
          <w:szCs w:val="24"/>
          <w:highlight w:val="white"/>
        </w:rPr>
        <w:t xml:space="preserve"> plot of heatmap density. This is done using </w:t>
      </w:r>
      <w:proofErr w:type="spellStart"/>
      <w:r w:rsidR="008709B9" w:rsidRPr="008709B9">
        <w:rPr>
          <w:sz w:val="24"/>
          <w:szCs w:val="24"/>
          <w:highlight w:val="white"/>
        </w:rPr>
        <w:t>numpy's</w:t>
      </w:r>
      <w:proofErr w:type="spellEnd"/>
      <w:r w:rsidR="008709B9" w:rsidRPr="008709B9">
        <w:rPr>
          <w:sz w:val="24"/>
          <w:szCs w:val="24"/>
          <w:highlight w:val="white"/>
        </w:rPr>
        <w:t xml:space="preserve"> 2D histogram binning with smoothing from scipy.</w:t>
      </w:r>
      <w:r w:rsidR="008709B9" w:rsidRPr="008709B9">
        <w:rPr>
          <w:sz w:val="24"/>
          <w:szCs w:val="24"/>
          <w:highlight w:val="white"/>
          <w:vertAlign w:val="superscript"/>
        </w:rPr>
        <w:t>7</w:t>
      </w:r>
      <w:r w:rsidR="008709B9" w:rsidRPr="008709B9">
        <w:rPr>
          <w:sz w:val="24"/>
          <w:szCs w:val="24"/>
          <w:highlight w:val="white"/>
        </w:rPr>
        <w:t xml:space="preserve"> </w:t>
      </w:r>
    </w:p>
    <w:p w:rsidR="00ED24FB" w:rsidRPr="00ED24FB" w:rsidRDefault="00ED24FB" w:rsidP="00ED24FB">
      <w:pPr>
        <w:pStyle w:val="NoSpacing"/>
        <w:rPr>
          <w:sz w:val="20"/>
          <w:szCs w:val="20"/>
        </w:rPr>
      </w:pPr>
    </w:p>
    <w:p w:rsidR="00AF50EA" w:rsidRDefault="00AF50EA" w:rsidP="00687062">
      <w:pPr>
        <w:spacing w:before="20" w:afterAutospacing="1" w:line="240" w:lineRule="auto"/>
        <w:rPr>
          <w:b/>
          <w:color w:val="333333"/>
          <w:sz w:val="24"/>
          <w:szCs w:val="24"/>
          <w:highlight w:val="white"/>
        </w:rPr>
      </w:pPr>
    </w:p>
    <w:p w:rsidR="00F60E2C" w:rsidRDefault="00F60E2C" w:rsidP="00687062">
      <w:pPr>
        <w:spacing w:before="20" w:afterAutospacing="1" w:line="240" w:lineRule="auto"/>
        <w:rPr>
          <w:b/>
          <w:color w:val="333333"/>
          <w:sz w:val="24"/>
          <w:szCs w:val="24"/>
          <w:highlight w:val="white"/>
        </w:rPr>
      </w:pPr>
    </w:p>
    <w:p w:rsidR="00F60E2C" w:rsidRDefault="00F60E2C" w:rsidP="00687062">
      <w:pPr>
        <w:spacing w:before="20" w:afterAutospacing="1" w:line="240" w:lineRule="auto"/>
        <w:rPr>
          <w:b/>
          <w:color w:val="333333"/>
          <w:sz w:val="24"/>
          <w:szCs w:val="24"/>
          <w:highlight w:val="white"/>
        </w:rPr>
      </w:pPr>
    </w:p>
    <w:p w:rsidR="00F60E2C" w:rsidRDefault="00F60E2C" w:rsidP="00687062">
      <w:pPr>
        <w:spacing w:before="20" w:afterAutospacing="1" w:line="240" w:lineRule="auto"/>
        <w:rPr>
          <w:b/>
          <w:color w:val="333333"/>
          <w:sz w:val="24"/>
          <w:szCs w:val="24"/>
          <w:highlight w:val="white"/>
        </w:rPr>
      </w:pPr>
    </w:p>
    <w:p w:rsidR="00F60E2C" w:rsidRDefault="00F60E2C" w:rsidP="00687062">
      <w:pPr>
        <w:spacing w:before="20" w:afterAutospacing="1" w:line="240" w:lineRule="auto"/>
        <w:rPr>
          <w:b/>
          <w:color w:val="333333"/>
          <w:sz w:val="24"/>
          <w:szCs w:val="24"/>
          <w:highlight w:val="white"/>
        </w:rPr>
      </w:pPr>
    </w:p>
    <w:p w:rsidR="00F60E2C" w:rsidRDefault="00F60E2C" w:rsidP="00687062">
      <w:pPr>
        <w:spacing w:before="20" w:afterAutospacing="1" w:line="240" w:lineRule="auto"/>
        <w:rPr>
          <w:b/>
          <w:color w:val="333333"/>
          <w:sz w:val="24"/>
          <w:szCs w:val="24"/>
          <w:highlight w:val="white"/>
        </w:rPr>
      </w:pPr>
    </w:p>
    <w:p w:rsidR="00D64387" w:rsidRPr="002B053E" w:rsidRDefault="00AF50EA" w:rsidP="002B053E">
      <w:pPr>
        <w:spacing w:before="20" w:afterAutospacing="1" w:line="240" w:lineRule="auto"/>
        <w:rPr>
          <w:color w:val="333333"/>
          <w:sz w:val="24"/>
          <w:szCs w:val="24"/>
          <w:highlight w:val="white"/>
        </w:rPr>
      </w:pPr>
      <w:r>
        <w:rPr>
          <w:b/>
          <w:color w:val="333333"/>
          <w:sz w:val="24"/>
          <w:szCs w:val="24"/>
          <w:highlight w:val="white"/>
        </w:rPr>
        <w:lastRenderedPageBreak/>
        <w:t>C</w:t>
      </w:r>
      <w:r w:rsidR="008D63BD">
        <w:rPr>
          <w:b/>
          <w:color w:val="333333"/>
          <w:sz w:val="24"/>
          <w:szCs w:val="24"/>
          <w:highlight w:val="white"/>
        </w:rPr>
        <w:t>onclusions:</w:t>
      </w:r>
      <w:r w:rsidR="008D63BD">
        <w:rPr>
          <w:color w:val="333333"/>
          <w:sz w:val="24"/>
          <w:szCs w:val="24"/>
          <w:highlight w:val="white"/>
        </w:rPr>
        <w:t xml:space="preserve"> </w:t>
      </w:r>
      <w:r w:rsidR="0043474F" w:rsidRPr="00ED6C01">
        <w:rPr>
          <w:color w:val="333333"/>
          <w:sz w:val="24"/>
          <w:szCs w:val="24"/>
        </w:rPr>
        <w:t>The project</w:t>
      </w:r>
      <w:r w:rsidR="0043474F">
        <w:rPr>
          <w:color w:val="333333"/>
        </w:rPr>
        <w:t>’s</w:t>
      </w:r>
      <w:r w:rsidR="0043474F" w:rsidRPr="00ED6C01">
        <w:rPr>
          <w:color w:val="333333"/>
          <w:sz w:val="24"/>
          <w:szCs w:val="24"/>
        </w:rPr>
        <w:t xml:space="preserve"> results show that overall trend in fatalities is declining, while trend analysis</w:t>
      </w:r>
      <w:r w:rsidR="0043474F">
        <w:rPr>
          <w:color w:val="333333"/>
        </w:rPr>
        <w:t xml:space="preserve"> for each group</w:t>
      </w:r>
      <w:r w:rsidR="0043474F" w:rsidRPr="00ED6C01">
        <w:rPr>
          <w:color w:val="333333"/>
          <w:sz w:val="24"/>
          <w:szCs w:val="24"/>
        </w:rPr>
        <w:t xml:space="preserve"> shows that fatalities among bicyclists is increasing. </w:t>
      </w:r>
      <w:r w:rsidR="00D64387" w:rsidRPr="00ED6C01">
        <w:rPr>
          <w:color w:val="333333"/>
          <w:sz w:val="24"/>
          <w:szCs w:val="24"/>
        </w:rPr>
        <w:t xml:space="preserve">The fact of increasing fatalities among bicyclists could be resulted from significant increasing </w:t>
      </w:r>
      <w:r w:rsidR="0043474F">
        <w:rPr>
          <w:color w:val="333333"/>
        </w:rPr>
        <w:t xml:space="preserve">in </w:t>
      </w:r>
      <w:r w:rsidR="00D64387" w:rsidRPr="00ED6C01">
        <w:rPr>
          <w:color w:val="333333"/>
          <w:sz w:val="24"/>
          <w:szCs w:val="24"/>
        </w:rPr>
        <w:t xml:space="preserve">number of bicycles from Citi Bike project that was </w:t>
      </w:r>
      <w:r w:rsidR="002B053E" w:rsidRPr="00ED6C01">
        <w:rPr>
          <w:color w:val="333333"/>
        </w:rPr>
        <w:t>launched</w:t>
      </w:r>
      <w:r w:rsidR="00D64387" w:rsidRPr="00ED6C01">
        <w:rPr>
          <w:color w:val="333333"/>
          <w:sz w:val="24"/>
          <w:szCs w:val="24"/>
        </w:rPr>
        <w:t xml:space="preserve"> in 2013. Citi Bike is the </w:t>
      </w:r>
      <w:r w:rsidR="00D64387" w:rsidRPr="002B053E">
        <w:rPr>
          <w:color w:val="333333"/>
          <w:sz w:val="24"/>
          <w:szCs w:val="24"/>
        </w:rPr>
        <w:t>nation's largest bike share program, with 10,000 bikes and 600 stations across Manhattan, Brooklyn, Queens and Jersey City.</w:t>
      </w:r>
      <w:r w:rsidR="002B053E" w:rsidRPr="002B053E">
        <w:rPr>
          <w:color w:val="333333"/>
          <w:sz w:val="24"/>
          <w:szCs w:val="24"/>
          <w:vertAlign w:val="superscript"/>
        </w:rPr>
        <w:t>4</w:t>
      </w:r>
      <w:r w:rsidR="00D64387" w:rsidRPr="002B053E">
        <w:rPr>
          <w:color w:val="333333"/>
          <w:sz w:val="24"/>
          <w:szCs w:val="24"/>
        </w:rPr>
        <w:t xml:space="preserve"> Also, further analysis revealed that the highest number of fatalities occurred: for pedestrians in lower east side downtown Manhattan, zip code 10002; for bicyclists in east Harlem uptown Manhattan zip code 10029; for MVO in East Flatbush, Brooklyn. The main factor that could lead to high fatality rate among pedestrians in zip code 10002 is an extremely large population density</w:t>
      </w:r>
      <w:r w:rsidR="002B053E" w:rsidRPr="002B053E">
        <w:rPr>
          <w:color w:val="333333"/>
          <w:sz w:val="24"/>
          <w:szCs w:val="24"/>
        </w:rPr>
        <w:t>:</w:t>
      </w:r>
      <w:r w:rsidR="00D64387" w:rsidRPr="002B053E">
        <w:rPr>
          <w:color w:val="333333"/>
          <w:sz w:val="24"/>
          <w:szCs w:val="24"/>
        </w:rPr>
        <w:t xml:space="preserve"> 92,573 people per </w:t>
      </w:r>
      <w:proofErr w:type="spellStart"/>
      <w:r w:rsidR="00D64387" w:rsidRPr="002B053E">
        <w:rPr>
          <w:color w:val="333333"/>
          <w:sz w:val="24"/>
          <w:szCs w:val="24"/>
        </w:rPr>
        <w:t>sq</w:t>
      </w:r>
      <w:proofErr w:type="spellEnd"/>
      <w:r w:rsidR="00D64387" w:rsidRPr="002B053E">
        <w:rPr>
          <w:color w:val="333333"/>
          <w:sz w:val="24"/>
          <w:szCs w:val="24"/>
        </w:rPr>
        <w:t xml:space="preserve"> mi.</w:t>
      </w:r>
      <w:r w:rsidR="002B053E" w:rsidRPr="002B053E">
        <w:rPr>
          <w:color w:val="333333"/>
          <w:sz w:val="24"/>
          <w:szCs w:val="24"/>
          <w:vertAlign w:val="superscript"/>
        </w:rPr>
        <w:t>5</w:t>
      </w:r>
      <w:r w:rsidR="00D64387" w:rsidRPr="002B053E">
        <w:rPr>
          <w:color w:val="333333"/>
          <w:sz w:val="24"/>
          <w:szCs w:val="24"/>
        </w:rPr>
        <w:t xml:space="preserve"> The people living in ZIP code 10002 are primarily Asian</w:t>
      </w:r>
      <w:r w:rsidR="002B053E" w:rsidRPr="002B053E">
        <w:rPr>
          <w:color w:val="333333"/>
          <w:sz w:val="24"/>
          <w:szCs w:val="24"/>
        </w:rPr>
        <w:t>s</w:t>
      </w:r>
      <w:r w:rsidR="00D64387" w:rsidRPr="002B053E">
        <w:rPr>
          <w:color w:val="333333"/>
          <w:sz w:val="24"/>
          <w:szCs w:val="24"/>
        </w:rPr>
        <w:t xml:space="preserve">. For bicyclist fatalities, the factor of extremely large population density is also significant, as well as close </w:t>
      </w:r>
      <w:r w:rsidR="002B053E" w:rsidRPr="002B053E">
        <w:rPr>
          <w:color w:val="333333"/>
          <w:sz w:val="24"/>
          <w:szCs w:val="24"/>
        </w:rPr>
        <w:t>localization</w:t>
      </w:r>
      <w:r w:rsidR="00D64387" w:rsidRPr="002B053E">
        <w:rPr>
          <w:color w:val="333333"/>
          <w:sz w:val="24"/>
          <w:szCs w:val="24"/>
        </w:rPr>
        <w:t xml:space="preserve"> to the Central Park. Population density for zip code 10029 is 92,116 people per </w:t>
      </w:r>
      <w:proofErr w:type="spellStart"/>
      <w:r w:rsidR="00D64387" w:rsidRPr="002B053E">
        <w:rPr>
          <w:color w:val="333333"/>
          <w:sz w:val="24"/>
          <w:szCs w:val="24"/>
        </w:rPr>
        <w:t>sq</w:t>
      </w:r>
      <w:proofErr w:type="spellEnd"/>
      <w:r w:rsidR="00D64387" w:rsidRPr="002B053E">
        <w:rPr>
          <w:color w:val="333333"/>
          <w:sz w:val="24"/>
          <w:szCs w:val="24"/>
        </w:rPr>
        <w:t xml:space="preserve"> mi.</w:t>
      </w:r>
      <w:r w:rsidR="002B053E" w:rsidRPr="002B053E">
        <w:rPr>
          <w:color w:val="333333"/>
          <w:sz w:val="24"/>
          <w:szCs w:val="24"/>
          <w:vertAlign w:val="superscript"/>
        </w:rPr>
        <w:t>5</w:t>
      </w:r>
      <w:r w:rsidR="00D64387" w:rsidRPr="002B053E">
        <w:rPr>
          <w:color w:val="333333"/>
          <w:sz w:val="24"/>
          <w:szCs w:val="24"/>
        </w:rPr>
        <w:t xml:space="preserve"> MVO high risk fatalities spot is in zip 11203, Brooklyn. As per NYPD Vehicle Collision Data</w:t>
      </w:r>
      <w:r w:rsidR="002B053E" w:rsidRPr="002B053E">
        <w:rPr>
          <w:color w:val="333333"/>
          <w:sz w:val="24"/>
          <w:szCs w:val="24"/>
          <w:vertAlign w:val="superscript"/>
        </w:rPr>
        <w:t>6</w:t>
      </w:r>
      <w:r w:rsidR="00D64387" w:rsidRPr="002B053E">
        <w:rPr>
          <w:color w:val="333333"/>
          <w:sz w:val="24"/>
          <w:szCs w:val="24"/>
        </w:rPr>
        <w:t xml:space="preserve"> the highest rate of vehicle collisions happened in Brooklyn, the most populated borough of New York. Distinctive features of zip 11203 are: annual average household income is less than 25,000 USD, 40% of population have no earnings</w:t>
      </w:r>
      <w:r w:rsidR="002B053E" w:rsidRPr="008D63BD">
        <w:rPr>
          <w:color w:val="333333"/>
          <w:sz w:val="24"/>
          <w:szCs w:val="24"/>
        </w:rPr>
        <w:t>5</w:t>
      </w:r>
      <w:r w:rsidR="00D64387" w:rsidRPr="002B053E">
        <w:rPr>
          <w:color w:val="333333"/>
          <w:sz w:val="24"/>
          <w:szCs w:val="24"/>
        </w:rPr>
        <w:t xml:space="preserve">. Though it may not directly </w:t>
      </w:r>
      <w:r w:rsidR="002B053E" w:rsidRPr="002B053E">
        <w:rPr>
          <w:color w:val="333333"/>
          <w:sz w:val="24"/>
          <w:szCs w:val="24"/>
        </w:rPr>
        <w:t>relate</w:t>
      </w:r>
      <w:r w:rsidR="00D64387" w:rsidRPr="002B053E">
        <w:rPr>
          <w:color w:val="333333"/>
          <w:sz w:val="24"/>
          <w:szCs w:val="24"/>
        </w:rPr>
        <w:t xml:space="preserve"> to the high MVO fatalities numbers</w:t>
      </w:r>
      <w:r w:rsidR="002B053E" w:rsidRPr="002B053E">
        <w:rPr>
          <w:color w:val="333333"/>
          <w:sz w:val="24"/>
          <w:szCs w:val="24"/>
        </w:rPr>
        <w:t xml:space="preserve"> in this location</w:t>
      </w:r>
      <w:r w:rsidR="00D64387" w:rsidRPr="002B053E">
        <w:rPr>
          <w:color w:val="333333"/>
          <w:sz w:val="24"/>
          <w:szCs w:val="24"/>
        </w:rPr>
        <w:t>.</w:t>
      </w:r>
      <w:r w:rsidR="00D64387" w:rsidRPr="008D63BD">
        <w:rPr>
          <w:color w:val="333333"/>
          <w:sz w:val="24"/>
          <w:szCs w:val="24"/>
        </w:rPr>
        <w:t xml:space="preserve"> </w:t>
      </w:r>
      <w:r w:rsidR="008D63BD" w:rsidRPr="008D63BD">
        <w:rPr>
          <w:color w:val="333333"/>
          <w:sz w:val="24"/>
          <w:szCs w:val="24"/>
        </w:rPr>
        <w:t xml:space="preserve">While it is hard to find out </w:t>
      </w:r>
      <w:r w:rsidR="008D63BD">
        <w:rPr>
          <w:color w:val="333333"/>
          <w:sz w:val="24"/>
          <w:szCs w:val="24"/>
        </w:rPr>
        <w:t>what exact changes were done for these specific</w:t>
      </w:r>
      <w:r w:rsidR="008D63BD" w:rsidRPr="008D63BD">
        <w:rPr>
          <w:color w:val="333333"/>
          <w:sz w:val="24"/>
          <w:szCs w:val="24"/>
        </w:rPr>
        <w:t xml:space="preserve"> high risk zones,</w:t>
      </w:r>
      <w:r w:rsidR="008D63BD">
        <w:rPr>
          <w:color w:val="333333"/>
          <w:sz w:val="24"/>
          <w:szCs w:val="24"/>
        </w:rPr>
        <w:t xml:space="preserve"> Vision Zero </w:t>
      </w:r>
      <w:r w:rsidR="008D63BD" w:rsidRPr="008D63BD">
        <w:rPr>
          <w:color w:val="333333"/>
          <w:sz w:val="24"/>
          <w:szCs w:val="24"/>
        </w:rPr>
        <w:t>is making major strides in safer street design. DOT is adding safety engineering improvements at 50 intersections and corridors, creating 25 new arterial slow zones, and implementing eight new neighborhood slow zones, among many other improvements.</w:t>
      </w:r>
      <w:r w:rsidR="008D63BD" w:rsidRPr="008D63BD">
        <w:rPr>
          <w:color w:val="333333"/>
          <w:sz w:val="24"/>
          <w:szCs w:val="24"/>
          <w:vertAlign w:val="superscript"/>
        </w:rPr>
        <w:t>1</w:t>
      </w:r>
      <w:r w:rsidR="008D63BD">
        <w:rPr>
          <w:color w:val="333333"/>
        </w:rPr>
        <w:t xml:space="preserve"> </w:t>
      </w:r>
      <w:r w:rsidR="00D64387">
        <w:rPr>
          <w:color w:val="333333"/>
        </w:rPr>
        <w:t xml:space="preserve"> </w:t>
      </w:r>
      <w:r w:rsidR="00D64387">
        <w:rPr>
          <w:color w:val="333333"/>
          <w:sz w:val="24"/>
          <w:szCs w:val="24"/>
          <w:vertAlign w:val="subscript"/>
        </w:rPr>
        <w:t xml:space="preserve"> </w:t>
      </w:r>
    </w:p>
    <w:p w:rsidR="002B053E" w:rsidRPr="002B053E" w:rsidRDefault="008D63BD" w:rsidP="00687062">
      <w:pPr>
        <w:spacing w:before="20" w:afterAutospacing="1" w:line="240" w:lineRule="auto"/>
        <w:rPr>
          <w:b/>
          <w:color w:val="333333"/>
          <w:sz w:val="24"/>
          <w:szCs w:val="24"/>
          <w:highlight w:val="white"/>
        </w:rPr>
      </w:pPr>
      <w:r>
        <w:rPr>
          <w:b/>
          <w:color w:val="333333"/>
          <w:sz w:val="24"/>
          <w:szCs w:val="24"/>
          <w:highlight w:val="white"/>
        </w:rPr>
        <w:t>F</w:t>
      </w:r>
      <w:r>
        <w:rPr>
          <w:b/>
          <w:color w:val="333333"/>
          <w:sz w:val="24"/>
          <w:szCs w:val="24"/>
          <w:highlight w:val="white"/>
        </w:rPr>
        <w:t xml:space="preserve">uture work: </w:t>
      </w:r>
      <w:r w:rsidR="002B053E" w:rsidRPr="002B053E">
        <w:rPr>
          <w:color w:val="333333"/>
          <w:sz w:val="24"/>
          <w:szCs w:val="24"/>
          <w:highlight w:val="white"/>
        </w:rPr>
        <w:t xml:space="preserve">Further steps could include analysis on </w:t>
      </w:r>
      <w:r w:rsidR="00AF70CA">
        <w:rPr>
          <w:color w:val="333333"/>
          <w:sz w:val="24"/>
          <w:szCs w:val="24"/>
          <w:highlight w:val="white"/>
        </w:rPr>
        <w:t>streets interse</w:t>
      </w:r>
      <w:bookmarkStart w:id="0" w:name="_GoBack"/>
      <w:bookmarkEnd w:id="0"/>
      <w:r w:rsidR="00AF70CA">
        <w:rPr>
          <w:color w:val="333333"/>
          <w:sz w:val="24"/>
          <w:szCs w:val="24"/>
          <w:highlight w:val="white"/>
        </w:rPr>
        <w:t xml:space="preserve">ctions scale </w:t>
      </w:r>
      <w:r w:rsidR="002B053E">
        <w:rPr>
          <w:color w:val="333333"/>
          <w:sz w:val="24"/>
          <w:szCs w:val="24"/>
          <w:highlight w:val="white"/>
        </w:rPr>
        <w:t xml:space="preserve">and </w:t>
      </w:r>
      <w:r w:rsidR="00AF70CA">
        <w:rPr>
          <w:color w:val="333333"/>
          <w:sz w:val="24"/>
          <w:szCs w:val="24"/>
          <w:highlight w:val="white"/>
        </w:rPr>
        <w:t>people</w:t>
      </w:r>
      <w:r w:rsidR="002B053E">
        <w:rPr>
          <w:color w:val="333333"/>
          <w:sz w:val="24"/>
          <w:szCs w:val="24"/>
          <w:highlight w:val="white"/>
        </w:rPr>
        <w:t xml:space="preserve"> age. To do this analysis</w:t>
      </w:r>
      <w:r w:rsidR="00AF70CA">
        <w:rPr>
          <w:color w:val="333333"/>
          <w:sz w:val="24"/>
          <w:szCs w:val="24"/>
          <w:highlight w:val="white"/>
        </w:rPr>
        <w:t xml:space="preserve"> focus should be </w:t>
      </w:r>
      <w:r w:rsidR="0013205B">
        <w:rPr>
          <w:color w:val="333333"/>
          <w:sz w:val="24"/>
          <w:szCs w:val="24"/>
          <w:highlight w:val="white"/>
        </w:rPr>
        <w:t>zoomed</w:t>
      </w:r>
      <w:r w:rsidR="00AF70CA">
        <w:rPr>
          <w:color w:val="333333"/>
          <w:sz w:val="24"/>
          <w:szCs w:val="24"/>
          <w:highlight w:val="white"/>
        </w:rPr>
        <w:t xml:space="preserve"> to streets level and </w:t>
      </w:r>
      <w:r w:rsidR="0013205B">
        <w:rPr>
          <w:color w:val="333333"/>
          <w:sz w:val="24"/>
          <w:szCs w:val="24"/>
          <w:highlight w:val="white"/>
        </w:rPr>
        <w:t xml:space="preserve">intersections where the most fatalities occurred. To make analysis that will reveal age of people involved in road accidents with fatalities dataset should have personal data of pedestrians, bicyclists, or </w:t>
      </w:r>
      <w:proofErr w:type="spellStart"/>
      <w:r w:rsidR="0013205B">
        <w:rPr>
          <w:color w:val="333333"/>
          <w:sz w:val="24"/>
          <w:szCs w:val="24"/>
          <w:highlight w:val="white"/>
        </w:rPr>
        <w:t>mvo</w:t>
      </w:r>
      <w:proofErr w:type="spellEnd"/>
      <w:r w:rsidR="0013205B">
        <w:rPr>
          <w:color w:val="333333"/>
          <w:sz w:val="24"/>
          <w:szCs w:val="24"/>
          <w:highlight w:val="white"/>
        </w:rPr>
        <w:t xml:space="preserve">.   </w:t>
      </w:r>
      <w:r w:rsidR="00AF70CA">
        <w:rPr>
          <w:color w:val="333333"/>
          <w:sz w:val="24"/>
          <w:szCs w:val="24"/>
          <w:highlight w:val="white"/>
        </w:rPr>
        <w:t xml:space="preserve"> </w:t>
      </w:r>
      <w:r w:rsidR="002B053E">
        <w:rPr>
          <w:color w:val="333333"/>
          <w:sz w:val="24"/>
          <w:szCs w:val="24"/>
          <w:highlight w:val="white"/>
        </w:rPr>
        <w:t xml:space="preserve">   </w:t>
      </w:r>
      <w:r w:rsidR="002B053E" w:rsidRPr="002B053E">
        <w:rPr>
          <w:color w:val="333333"/>
          <w:sz w:val="24"/>
          <w:szCs w:val="24"/>
          <w:highlight w:val="white"/>
        </w:rPr>
        <w:t xml:space="preserve">  </w:t>
      </w:r>
    </w:p>
    <w:p w:rsidR="007E4026" w:rsidRDefault="007E4026" w:rsidP="00687062">
      <w:pPr>
        <w:spacing w:line="240" w:lineRule="auto"/>
        <w:rPr>
          <w:b/>
          <w:color w:val="333333"/>
          <w:sz w:val="24"/>
          <w:szCs w:val="24"/>
          <w:highlight w:val="white"/>
        </w:rPr>
      </w:pPr>
    </w:p>
    <w:p w:rsidR="004913D6" w:rsidRDefault="008D63BD" w:rsidP="00687062">
      <w:pPr>
        <w:spacing w:line="240" w:lineRule="auto"/>
        <w:rPr>
          <w:b/>
          <w:color w:val="333333"/>
          <w:sz w:val="24"/>
          <w:szCs w:val="24"/>
        </w:rPr>
      </w:pPr>
      <w:r>
        <w:rPr>
          <w:b/>
          <w:color w:val="333333"/>
          <w:sz w:val="24"/>
          <w:szCs w:val="24"/>
          <w:highlight w:val="white"/>
        </w:rPr>
        <w:t>Bibliography</w:t>
      </w:r>
    </w:p>
    <w:p w:rsidR="00A42F58" w:rsidRDefault="00A42F58" w:rsidP="00687062">
      <w:pPr>
        <w:spacing w:line="240" w:lineRule="auto"/>
        <w:rPr>
          <w:b/>
          <w:color w:val="333333"/>
          <w:sz w:val="24"/>
          <w:szCs w:val="24"/>
        </w:rPr>
      </w:pPr>
    </w:p>
    <w:p w:rsidR="002A6464" w:rsidRPr="002B053E" w:rsidRDefault="00A961C1" w:rsidP="00A42F58">
      <w:pPr>
        <w:pStyle w:val="ListParagraph"/>
        <w:numPr>
          <w:ilvl w:val="0"/>
          <w:numId w:val="1"/>
        </w:numPr>
        <w:spacing w:line="240" w:lineRule="auto"/>
        <w:rPr>
          <w:sz w:val="24"/>
          <w:szCs w:val="24"/>
        </w:rPr>
      </w:pPr>
      <w:r>
        <w:rPr>
          <w:sz w:val="24"/>
          <w:szCs w:val="24"/>
        </w:rPr>
        <w:t xml:space="preserve">Vision Zero Program web site </w:t>
      </w:r>
      <w:hyperlink r:id="rId7" w:history="1">
        <w:r w:rsidR="002A6464" w:rsidRPr="002B053E">
          <w:rPr>
            <w:rStyle w:val="Hyperlink"/>
            <w:color w:val="1155CC"/>
            <w:sz w:val="24"/>
            <w:szCs w:val="24"/>
          </w:rPr>
          <w:t>http://www1.nyc.gov/site/visionzero/index.page</w:t>
        </w:r>
      </w:hyperlink>
    </w:p>
    <w:p w:rsidR="002A6464" w:rsidRPr="002B053E" w:rsidRDefault="00A961C1" w:rsidP="00A42F58">
      <w:pPr>
        <w:pStyle w:val="ListParagraph"/>
        <w:numPr>
          <w:ilvl w:val="0"/>
          <w:numId w:val="1"/>
        </w:numPr>
        <w:spacing w:line="240" w:lineRule="auto"/>
        <w:rPr>
          <w:sz w:val="24"/>
          <w:szCs w:val="24"/>
        </w:rPr>
      </w:pPr>
      <w:r>
        <w:rPr>
          <w:sz w:val="24"/>
          <w:szCs w:val="24"/>
        </w:rPr>
        <w:t xml:space="preserve">Vision Zero Investment article </w:t>
      </w:r>
      <w:hyperlink r:id="rId8" w:history="1">
        <w:r w:rsidR="002A6464" w:rsidRPr="002B053E">
          <w:rPr>
            <w:rStyle w:val="Hyperlink"/>
            <w:color w:val="1155CC"/>
            <w:sz w:val="24"/>
            <w:szCs w:val="24"/>
          </w:rPr>
          <w:t>https://www.transalt.org/getinvolved/vision-zero-investment</w:t>
        </w:r>
      </w:hyperlink>
    </w:p>
    <w:p w:rsidR="002A6464" w:rsidRPr="002B053E" w:rsidRDefault="007E4026" w:rsidP="002A6464">
      <w:pPr>
        <w:pStyle w:val="ListParagraph"/>
        <w:numPr>
          <w:ilvl w:val="0"/>
          <w:numId w:val="1"/>
        </w:numPr>
        <w:spacing w:line="240" w:lineRule="auto"/>
        <w:rPr>
          <w:sz w:val="24"/>
          <w:szCs w:val="24"/>
        </w:rPr>
      </w:pPr>
      <w:r>
        <w:rPr>
          <w:sz w:val="24"/>
          <w:szCs w:val="24"/>
        </w:rPr>
        <w:t xml:space="preserve">Vision Zero Data Feeds </w:t>
      </w:r>
      <w:hyperlink r:id="rId9" w:history="1">
        <w:r w:rsidRPr="00D07E18">
          <w:rPr>
            <w:rStyle w:val="Hyperlink"/>
            <w:sz w:val="24"/>
            <w:szCs w:val="24"/>
          </w:rPr>
          <w:t>http://www.nyc.gov/html/dot/html/about/</w:t>
        </w:r>
        <w:r w:rsidRPr="00D07E18">
          <w:rPr>
            <w:rStyle w:val="Hyperlink"/>
            <w:sz w:val="24"/>
            <w:szCs w:val="24"/>
          </w:rPr>
          <w:t>vz_d</w:t>
        </w:r>
        <w:r w:rsidRPr="00D07E18">
          <w:rPr>
            <w:rStyle w:val="Hyperlink"/>
            <w:sz w:val="24"/>
            <w:szCs w:val="24"/>
          </w:rPr>
          <w:t>a</w:t>
        </w:r>
        <w:r w:rsidRPr="00D07E18">
          <w:rPr>
            <w:rStyle w:val="Hyperlink"/>
            <w:sz w:val="24"/>
            <w:szCs w:val="24"/>
          </w:rPr>
          <w:t>tafeeds.shtml#crash</w:t>
        </w:r>
      </w:hyperlink>
      <w:r>
        <w:rPr>
          <w:sz w:val="24"/>
          <w:szCs w:val="24"/>
        </w:rPr>
        <w:t xml:space="preserve"> </w:t>
      </w:r>
      <w:r w:rsidR="002A6464" w:rsidRPr="002B053E">
        <w:rPr>
          <w:sz w:val="24"/>
          <w:szCs w:val="24"/>
        </w:rPr>
        <w:t xml:space="preserve"> </w:t>
      </w:r>
    </w:p>
    <w:p w:rsidR="00A42F58" w:rsidRPr="002B053E" w:rsidRDefault="00A961C1" w:rsidP="00A42F58">
      <w:pPr>
        <w:pStyle w:val="ListParagraph"/>
        <w:numPr>
          <w:ilvl w:val="0"/>
          <w:numId w:val="1"/>
        </w:numPr>
        <w:spacing w:line="240" w:lineRule="auto"/>
        <w:rPr>
          <w:sz w:val="24"/>
          <w:szCs w:val="24"/>
        </w:rPr>
      </w:pPr>
      <w:r>
        <w:rPr>
          <w:sz w:val="24"/>
          <w:szCs w:val="24"/>
        </w:rPr>
        <w:t xml:space="preserve">Citi Bike program official web site </w:t>
      </w:r>
      <w:hyperlink r:id="rId10" w:history="1">
        <w:r w:rsidR="00A42F58" w:rsidRPr="002B053E">
          <w:rPr>
            <w:rStyle w:val="Hyperlink"/>
            <w:sz w:val="24"/>
            <w:szCs w:val="24"/>
          </w:rPr>
          <w:t>https://www.citibikenyc.com/</w:t>
        </w:r>
      </w:hyperlink>
    </w:p>
    <w:p w:rsidR="00A42F58" w:rsidRPr="002B053E" w:rsidRDefault="00A961C1" w:rsidP="00A42F58">
      <w:pPr>
        <w:pStyle w:val="ListParagraph"/>
        <w:numPr>
          <w:ilvl w:val="0"/>
          <w:numId w:val="1"/>
        </w:numPr>
        <w:spacing w:line="240" w:lineRule="auto"/>
        <w:rPr>
          <w:sz w:val="24"/>
          <w:szCs w:val="24"/>
        </w:rPr>
      </w:pPr>
      <w:r>
        <w:rPr>
          <w:sz w:val="24"/>
          <w:szCs w:val="24"/>
        </w:rPr>
        <w:t xml:space="preserve">Statistical data by the U.S. zip code </w:t>
      </w:r>
      <w:hyperlink r:id="rId11" w:history="1">
        <w:r w:rsidR="00A42F58" w:rsidRPr="002B053E">
          <w:rPr>
            <w:rStyle w:val="Hyperlink"/>
            <w:sz w:val="24"/>
            <w:szCs w:val="24"/>
          </w:rPr>
          <w:t>http://www.unitedstateszipcodes.org/</w:t>
        </w:r>
      </w:hyperlink>
      <w:r w:rsidR="00A42F58" w:rsidRPr="002B053E">
        <w:rPr>
          <w:sz w:val="24"/>
          <w:szCs w:val="24"/>
        </w:rPr>
        <w:t xml:space="preserve"> </w:t>
      </w:r>
    </w:p>
    <w:p w:rsidR="00A42F58" w:rsidRPr="002B053E" w:rsidRDefault="00F162B8" w:rsidP="00A42F58">
      <w:pPr>
        <w:pStyle w:val="ListParagraph"/>
        <w:numPr>
          <w:ilvl w:val="0"/>
          <w:numId w:val="1"/>
        </w:numPr>
        <w:spacing w:line="240" w:lineRule="auto"/>
        <w:rPr>
          <w:sz w:val="24"/>
          <w:szCs w:val="24"/>
        </w:rPr>
      </w:pPr>
      <w:r>
        <w:rPr>
          <w:sz w:val="24"/>
          <w:szCs w:val="24"/>
        </w:rPr>
        <w:t xml:space="preserve">NYC Open Data, </w:t>
      </w:r>
      <w:r w:rsidR="00A961C1">
        <w:rPr>
          <w:sz w:val="24"/>
          <w:szCs w:val="24"/>
        </w:rPr>
        <w:t xml:space="preserve">NYPD motor vehicle collision data </w:t>
      </w:r>
      <w:hyperlink r:id="rId12" w:history="1">
        <w:r w:rsidR="00A42F58" w:rsidRPr="002B053E">
          <w:rPr>
            <w:rStyle w:val="Hyperlink"/>
            <w:sz w:val="24"/>
            <w:szCs w:val="24"/>
          </w:rPr>
          <w:t>https://data.cityofnewyork.us/Public-Safety/NYPD-Motor-Vehicle-Collisions/h9gi-nx95</w:t>
        </w:r>
      </w:hyperlink>
      <w:r w:rsidR="00A42F58" w:rsidRPr="002B053E">
        <w:rPr>
          <w:sz w:val="24"/>
          <w:szCs w:val="24"/>
        </w:rPr>
        <w:t xml:space="preserve"> </w:t>
      </w:r>
    </w:p>
    <w:p w:rsidR="008709B9" w:rsidRPr="002B053E" w:rsidRDefault="00A961C1" w:rsidP="008709B9">
      <w:pPr>
        <w:pStyle w:val="ListParagraph"/>
        <w:numPr>
          <w:ilvl w:val="0"/>
          <w:numId w:val="1"/>
        </w:numPr>
        <w:spacing w:line="240" w:lineRule="auto"/>
        <w:rPr>
          <w:sz w:val="24"/>
          <w:szCs w:val="24"/>
        </w:rPr>
      </w:pPr>
      <w:proofErr w:type="spellStart"/>
      <w:r>
        <w:rPr>
          <w:sz w:val="24"/>
          <w:szCs w:val="24"/>
        </w:rPr>
        <w:t>Geopandas</w:t>
      </w:r>
      <w:proofErr w:type="spellEnd"/>
      <w:r>
        <w:rPr>
          <w:sz w:val="24"/>
          <w:szCs w:val="24"/>
        </w:rPr>
        <w:t xml:space="preserve"> heatmap instruction </w:t>
      </w:r>
      <w:hyperlink r:id="rId13" w:history="1">
        <w:r w:rsidR="008709B9" w:rsidRPr="002B053E">
          <w:rPr>
            <w:rStyle w:val="Hyperlink"/>
            <w:sz w:val="24"/>
            <w:szCs w:val="24"/>
          </w:rPr>
          <w:t>http://nbviewer.jupyter.org/gist/perrygeo/c426355e40037c452434</w:t>
        </w:r>
      </w:hyperlink>
      <w:r w:rsidR="008709B9" w:rsidRPr="002B053E">
        <w:rPr>
          <w:sz w:val="24"/>
          <w:szCs w:val="24"/>
        </w:rPr>
        <w:t xml:space="preserve"> </w:t>
      </w:r>
    </w:p>
    <w:sectPr w:rsidR="008709B9" w:rsidRPr="002B053E" w:rsidSect="00C83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50A74"/>
    <w:multiLevelType w:val="hybridMultilevel"/>
    <w:tmpl w:val="65EC913C"/>
    <w:lvl w:ilvl="0" w:tplc="4DE82928">
      <w:start w:val="1"/>
      <w:numFmt w:val="decimal"/>
      <w:lvlText w:val="%1."/>
      <w:lvlJc w:val="left"/>
      <w:pPr>
        <w:ind w:left="720" w:hanging="360"/>
      </w:pPr>
      <w:rPr>
        <w:rFonts w:hint="default"/>
        <w:b/>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913D6"/>
    <w:rsid w:val="0013205B"/>
    <w:rsid w:val="00154A93"/>
    <w:rsid w:val="001B2BFA"/>
    <w:rsid w:val="00264269"/>
    <w:rsid w:val="00291064"/>
    <w:rsid w:val="002A6464"/>
    <w:rsid w:val="002B053E"/>
    <w:rsid w:val="003E7926"/>
    <w:rsid w:val="0043474F"/>
    <w:rsid w:val="004913D6"/>
    <w:rsid w:val="0053744F"/>
    <w:rsid w:val="005D666F"/>
    <w:rsid w:val="00602B33"/>
    <w:rsid w:val="006229E3"/>
    <w:rsid w:val="00687062"/>
    <w:rsid w:val="007E4026"/>
    <w:rsid w:val="00850622"/>
    <w:rsid w:val="008709B9"/>
    <w:rsid w:val="008C4132"/>
    <w:rsid w:val="008D1589"/>
    <w:rsid w:val="008D63BD"/>
    <w:rsid w:val="008E13E3"/>
    <w:rsid w:val="00A42F58"/>
    <w:rsid w:val="00A961C1"/>
    <w:rsid w:val="00AE4479"/>
    <w:rsid w:val="00AF50EA"/>
    <w:rsid w:val="00AF70CA"/>
    <w:rsid w:val="00B234F8"/>
    <w:rsid w:val="00BB5F2F"/>
    <w:rsid w:val="00C83700"/>
    <w:rsid w:val="00D268E1"/>
    <w:rsid w:val="00D64387"/>
    <w:rsid w:val="00ED24FB"/>
    <w:rsid w:val="00ED6C01"/>
    <w:rsid w:val="00EF1DFE"/>
    <w:rsid w:val="00F162B8"/>
    <w:rsid w:val="00F200FD"/>
    <w:rsid w:val="00F37C75"/>
    <w:rsid w:val="00F6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7C95"/>
  <w15:docId w15:val="{C263A3BD-4F9E-467A-BDB4-BFFB418F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apple-converted-space">
    <w:name w:val="apple-converted-space"/>
    <w:basedOn w:val="DefaultParagraphFont"/>
    <w:rsid w:val="008E13E3"/>
  </w:style>
  <w:style w:type="paragraph" w:styleId="NormalWeb">
    <w:name w:val="Normal (Web)"/>
    <w:basedOn w:val="Normal"/>
    <w:uiPriority w:val="99"/>
    <w:unhideWhenUsed/>
    <w:rsid w:val="00ED6C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42F58"/>
    <w:pPr>
      <w:ind w:left="720"/>
      <w:contextualSpacing/>
    </w:pPr>
  </w:style>
  <w:style w:type="character" w:styleId="Hyperlink">
    <w:name w:val="Hyperlink"/>
    <w:basedOn w:val="DefaultParagraphFont"/>
    <w:uiPriority w:val="99"/>
    <w:unhideWhenUsed/>
    <w:rsid w:val="00A42F58"/>
    <w:rPr>
      <w:color w:val="0563C1" w:themeColor="hyperlink"/>
      <w:u w:val="single"/>
    </w:rPr>
  </w:style>
  <w:style w:type="paragraph" w:styleId="NoSpacing">
    <w:name w:val="No Spacing"/>
    <w:uiPriority w:val="1"/>
    <w:qFormat/>
    <w:rsid w:val="00F200FD"/>
    <w:pPr>
      <w:spacing w:line="240" w:lineRule="auto"/>
    </w:pPr>
  </w:style>
  <w:style w:type="character" w:customStyle="1" w:styleId="pre">
    <w:name w:val="pre"/>
    <w:basedOn w:val="DefaultParagraphFont"/>
    <w:rsid w:val="008709B9"/>
  </w:style>
  <w:style w:type="character" w:styleId="HTMLCode">
    <w:name w:val="HTML Code"/>
    <w:basedOn w:val="DefaultParagraphFont"/>
    <w:uiPriority w:val="99"/>
    <w:semiHidden/>
    <w:unhideWhenUsed/>
    <w:rsid w:val="008709B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E4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7420">
      <w:bodyDiv w:val="1"/>
      <w:marLeft w:val="0"/>
      <w:marRight w:val="0"/>
      <w:marTop w:val="0"/>
      <w:marBottom w:val="0"/>
      <w:divBdr>
        <w:top w:val="none" w:sz="0" w:space="0" w:color="auto"/>
        <w:left w:val="none" w:sz="0" w:space="0" w:color="auto"/>
        <w:bottom w:val="none" w:sz="0" w:space="0" w:color="auto"/>
        <w:right w:val="none" w:sz="0" w:space="0" w:color="auto"/>
      </w:divBdr>
    </w:div>
    <w:div w:id="826869424">
      <w:bodyDiv w:val="1"/>
      <w:marLeft w:val="0"/>
      <w:marRight w:val="0"/>
      <w:marTop w:val="0"/>
      <w:marBottom w:val="0"/>
      <w:divBdr>
        <w:top w:val="none" w:sz="0" w:space="0" w:color="auto"/>
        <w:left w:val="none" w:sz="0" w:space="0" w:color="auto"/>
        <w:bottom w:val="none" w:sz="0" w:space="0" w:color="auto"/>
        <w:right w:val="none" w:sz="0" w:space="0" w:color="auto"/>
      </w:divBdr>
    </w:div>
    <w:div w:id="1029184375">
      <w:bodyDiv w:val="1"/>
      <w:marLeft w:val="0"/>
      <w:marRight w:val="0"/>
      <w:marTop w:val="0"/>
      <w:marBottom w:val="0"/>
      <w:divBdr>
        <w:top w:val="none" w:sz="0" w:space="0" w:color="auto"/>
        <w:left w:val="none" w:sz="0" w:space="0" w:color="auto"/>
        <w:bottom w:val="none" w:sz="0" w:space="0" w:color="auto"/>
        <w:right w:val="none" w:sz="0" w:space="0" w:color="auto"/>
      </w:divBdr>
    </w:div>
    <w:div w:id="1638877001">
      <w:bodyDiv w:val="1"/>
      <w:marLeft w:val="0"/>
      <w:marRight w:val="0"/>
      <w:marTop w:val="0"/>
      <w:marBottom w:val="0"/>
      <w:divBdr>
        <w:top w:val="none" w:sz="0" w:space="0" w:color="auto"/>
        <w:left w:val="none" w:sz="0" w:space="0" w:color="auto"/>
        <w:bottom w:val="none" w:sz="0" w:space="0" w:color="auto"/>
        <w:right w:val="none" w:sz="0" w:space="0" w:color="auto"/>
      </w:divBdr>
    </w:div>
    <w:div w:id="1858234254">
      <w:bodyDiv w:val="1"/>
      <w:marLeft w:val="0"/>
      <w:marRight w:val="0"/>
      <w:marTop w:val="0"/>
      <w:marBottom w:val="0"/>
      <w:divBdr>
        <w:top w:val="none" w:sz="0" w:space="0" w:color="auto"/>
        <w:left w:val="none" w:sz="0" w:space="0" w:color="auto"/>
        <w:bottom w:val="none" w:sz="0" w:space="0" w:color="auto"/>
        <w:right w:val="none" w:sz="0" w:space="0" w:color="auto"/>
      </w:divBdr>
    </w:div>
    <w:div w:id="207940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ransalt.org/getinvolved/vision-zero-investment" TargetMode="External"/><Relationship Id="rId13" Type="http://schemas.openxmlformats.org/officeDocument/2006/relationships/hyperlink" Target="http://nbviewer.jupyter.org/gist/perrygeo/c426355e40037c452434" TargetMode="External"/><Relationship Id="rId3" Type="http://schemas.openxmlformats.org/officeDocument/2006/relationships/settings" Target="settings.xml"/><Relationship Id="rId7" Type="http://schemas.openxmlformats.org/officeDocument/2006/relationships/hyperlink" Target="http://www1.nyc.gov/site/visionzero/index.page" TargetMode="External"/><Relationship Id="rId12" Type="http://schemas.openxmlformats.org/officeDocument/2006/relationships/hyperlink" Target="https://data.cityofnewyork.us/Public-Safety/NYPD-Motor-Vehicle-Collisions/h9gi-nx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unitedstateszipcodes.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itibikenyc.com/" TargetMode="External"/><Relationship Id="rId4" Type="http://schemas.openxmlformats.org/officeDocument/2006/relationships/webSettings" Target="webSettings.xml"/><Relationship Id="rId9" Type="http://schemas.openxmlformats.org/officeDocument/2006/relationships/hyperlink" Target="http://www.nyc.gov/html/dot/html/about/vz_datafeeds.shtml#cra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Kalinin</cp:lastModifiedBy>
  <cp:revision>27</cp:revision>
  <dcterms:created xsi:type="dcterms:W3CDTF">2016-12-15T15:29:00Z</dcterms:created>
  <dcterms:modified xsi:type="dcterms:W3CDTF">2016-12-16T01:32:00Z</dcterms:modified>
</cp:coreProperties>
</file>