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F3864"/>
          <w:sz w:val="52"/>
        </w:rPr>
        <w:t>RETAIL SALES ANALYSIS REPORT</w:t>
      </w:r>
    </w:p>
    <w:p>
      <w:pPr>
        <w:spacing w:after="120"/>
        <w:jc w:val="center"/>
      </w:pPr>
      <w:r>
        <w:rPr>
          <w:b w:val="0"/>
          <w:i w:val="0"/>
          <w:color w:val="2E75B6"/>
          <w:sz w:val="26"/>
        </w:rPr>
        <w:t>Fiscal Year 2023  |  Comprehensive Sales Intelligence</w:t>
      </w:r>
    </w:p>
    <w:p>
      <w:pPr>
        <w:spacing w:after="120"/>
        <w:jc w:val="center"/>
      </w:pPr>
      <w:r>
        <w:rPr>
          <w:b w:val="0"/>
          <w:i/>
          <w:color w:val="808080"/>
          <w:sz w:val="20"/>
        </w:rPr>
        <w:t>Prepared by: Retail Analytics Team  |  Dataset: retail_sales_dataset.csv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2"/>
        <w:jc w:val="left"/>
      </w:pPr>
      <w:r>
        <w:rPr>
          <w:b/>
          <w:color w:val="1F3864"/>
          <w:sz w:val="26"/>
        </w:rPr>
        <w:t>Table of Contents</w:t>
      </w:r>
    </w:p>
    <w:p>
      <w:pPr>
        <w:pStyle w:val="ListNumber"/>
        <w:spacing w:after="60"/>
      </w:pPr>
      <w:r>
        <w:rPr>
          <w:color w:val="2E75B6"/>
          <w:sz w:val="22"/>
        </w:rPr>
        <w:t>1. Executive Summary</w:t>
      </w:r>
    </w:p>
    <w:p>
      <w:pPr>
        <w:pStyle w:val="ListNumber"/>
        <w:spacing w:after="60"/>
      </w:pPr>
      <w:r>
        <w:rPr>
          <w:color w:val="2E75B6"/>
          <w:sz w:val="22"/>
        </w:rPr>
        <w:t>2. Key Performance Indicators (KPIs)</w:t>
      </w:r>
    </w:p>
    <w:p>
      <w:pPr>
        <w:pStyle w:val="ListNumber"/>
        <w:spacing w:after="60"/>
      </w:pPr>
      <w:r>
        <w:rPr>
          <w:color w:val="2E75B6"/>
          <w:sz w:val="22"/>
        </w:rPr>
        <w:t>3. Revenue Analysis by Product Category</w:t>
      </w:r>
    </w:p>
    <w:p>
      <w:pPr>
        <w:pStyle w:val="ListNumber"/>
        <w:spacing w:after="60"/>
      </w:pPr>
      <w:r>
        <w:rPr>
          <w:color w:val="2E75B6"/>
          <w:sz w:val="22"/>
        </w:rPr>
        <w:t>4. Monthly &amp; Quarterly Revenue Trends</w:t>
      </w:r>
    </w:p>
    <w:p>
      <w:pPr>
        <w:pStyle w:val="ListNumber"/>
        <w:spacing w:after="60"/>
      </w:pPr>
      <w:r>
        <w:rPr>
          <w:color w:val="2E75B6"/>
          <w:sz w:val="22"/>
        </w:rPr>
        <w:t>5. Customer Demographics</w:t>
      </w:r>
    </w:p>
    <w:p>
      <w:pPr>
        <w:pStyle w:val="ListNumber"/>
        <w:spacing w:after="60"/>
      </w:pPr>
      <w:r>
        <w:rPr>
          <w:color w:val="2E75B6"/>
          <w:sz w:val="22"/>
        </w:rPr>
        <w:t>6. Transaction Deep-Dive</w:t>
      </w:r>
    </w:p>
    <w:p>
      <w:pPr>
        <w:pStyle w:val="ListNumber"/>
        <w:spacing w:after="60"/>
      </w:pPr>
      <w:r>
        <w:rPr>
          <w:color w:val="2E75B6"/>
          <w:sz w:val="22"/>
        </w:rPr>
        <w:t>7. Key Findings &amp; Recommendations</w:t>
      </w:r>
    </w:p>
    <w:p>
      <w:pPr>
        <w:pStyle w:val="ListNumber"/>
        <w:spacing w:after="60"/>
      </w:pPr>
      <w:r>
        <w:rPr>
          <w:color w:val="2E75B6"/>
          <w:sz w:val="22"/>
        </w:rPr>
        <w:t>8. Conclusion</w:t>
      </w:r>
    </w:p>
    <w:p>
      <w:r>
        <w:br w:type="page"/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1. Executive Summary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This report presents a comprehensive analysis of retail sales data for fiscal year 2023. The dataset covers 1,000 unique customer transactions across three product categories — Electronics, Clothing, and Beauty — generating total revenue of $456,000. The analysis covers revenue trends, customer demographics, product performance, and transactional distributions to provide actionable insights for strategic decision-making.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Key highlights: Q4 2023 was the strongest quarter ($126,190). Electronics led category revenue at $156,905 (34.4%). Female customers contributed 51.1% of total revenue. The 46–60 age group is the highest-value segment at $147,875. Average order value stood at a healthy $456 per transaction.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2. Key Performance Indicators (KPIs)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Top-level KPIs for the full reporting period: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shd w:val="clear" w:color="auto" w:fill="1F3864"/>
            <w:tcW w:type="dxa" w:w="36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 Metric</w:t>
            </w:r>
          </w:p>
        </w:tc>
        <w:tc>
          <w:tcPr>
            <w:shd w:val="clear" w:color="auto" w:fill="1F3864"/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shd w:val="clear" w:color="auto" w:fill="1F3864"/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Total Revenue</w:t>
            </w:r>
          </w:p>
        </w:tc>
        <w:tc>
          <w:tcPr>
            <w:shd w:val="clear" w:color="auto" w:fill="E9EFF7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$456,000</w:t>
            </w:r>
          </w:p>
        </w:tc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Full fiscal year 2023</w:t>
            </w:r>
          </w:p>
        </w:tc>
      </w:tr>
      <w:tr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Total Transactions</w:t>
            </w:r>
          </w:p>
        </w:tc>
        <w:tc>
          <w:tcPr>
            <w:shd w:val="clear" w:color="auto" w:fill="FFFFFF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1,000</w:t>
            </w:r>
          </w:p>
        </w:tc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All unique purchases</w:t>
            </w:r>
          </w:p>
        </w:tc>
      </w:tr>
      <w:tr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Unique Customers</w:t>
            </w:r>
          </w:p>
        </w:tc>
        <w:tc>
          <w:tcPr>
            <w:shd w:val="clear" w:color="auto" w:fill="E9EFF7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1,000</w:t>
            </w:r>
          </w:p>
        </w:tc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100% unique purchase rate</w:t>
            </w:r>
          </w:p>
        </w:tc>
      </w:tr>
      <w:tr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Average Order Value</w:t>
            </w:r>
          </w:p>
        </w:tc>
        <w:tc>
          <w:tcPr>
            <w:shd w:val="clear" w:color="auto" w:fill="FFFFFF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$456.00</w:t>
            </w:r>
          </w:p>
        </w:tc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Premium retail positioning</w:t>
            </w:r>
          </w:p>
        </w:tc>
      </w:tr>
      <w:tr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Avg Quantity per Order</w:t>
            </w:r>
          </w:p>
        </w:tc>
        <w:tc>
          <w:tcPr>
            <w:shd w:val="clear" w:color="auto" w:fill="E9EFF7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2.51 units</w:t>
            </w:r>
          </w:p>
        </w:tc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Moderate basket size</w:t>
            </w:r>
          </w:p>
        </w:tc>
      </w:tr>
      <w:tr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Top Revenue Quarter</w:t>
            </w:r>
          </w:p>
        </w:tc>
        <w:tc>
          <w:tcPr>
            <w:shd w:val="clear" w:color="auto" w:fill="FFFFFF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Q4 — $126,190</w:t>
            </w:r>
          </w:p>
        </w:tc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Oct – Dec 2023</w:t>
            </w:r>
          </w:p>
        </w:tc>
      </w:tr>
      <w:tr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Leading Product Category</w:t>
            </w:r>
          </w:p>
        </w:tc>
        <w:tc>
          <w:tcPr>
            <w:shd w:val="clear" w:color="auto" w:fill="E9EFF7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Electronics — $156,905</w:t>
            </w:r>
          </w:p>
        </w:tc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34.4% revenue share</w:t>
            </w:r>
          </w:p>
        </w:tc>
      </w:tr>
      <w:tr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Top Customer Segment (Age)</w:t>
            </w:r>
          </w:p>
        </w:tc>
        <w:tc>
          <w:tcPr>
            <w:shd w:val="clear" w:color="auto" w:fill="FFFFFF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46–60 — $147,875</w:t>
            </w:r>
          </w:p>
        </w:tc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Highest-value age group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3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Key Business Metrics Overview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3. Revenue Analysis by Product Category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Three product categories drive all revenue. Electronics leads at 34.4%, followed by Clothing (34.1%) and Beauty (31.5%). This near-equal distribution signals a well-diversified product strategy with no single-category dependency risk.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shd w:val="clear" w:color="auto" w:fill="1F3864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shd w:val="clear" w:color="auto" w:fill="1F3864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($)</w:t>
            </w:r>
          </w:p>
        </w:tc>
        <w:tc>
          <w:tcPr>
            <w:shd w:val="clear" w:color="auto" w:fill="1F3864"/>
            <w:tcW w:type="dxa" w:w="15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 (%)</w:t>
            </w:r>
          </w:p>
        </w:tc>
        <w:tc>
          <w:tcPr>
            <w:shd w:val="clear" w:color="auto" w:fill="1F3864"/>
            <w:tcW w:type="dxa" w:w="158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Units Sold</w:t>
            </w:r>
          </w:p>
        </w:tc>
        <w:tc>
          <w:tcPr>
            <w:shd w:val="clear" w:color="auto" w:fill="1F3864"/>
            <w:tcW w:type="dxa" w:w="18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  <w:tc>
          <w:tcPr>
            <w:shd w:val="clear" w:color="auto" w:fill="1F3864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Price ($)</w:t>
            </w:r>
          </w:p>
        </w:tc>
      </w:tr>
      <w:tr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Electronics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$156,905</w:t>
            </w:r>
          </w:p>
        </w:tc>
        <w:tc>
          <w:tcPr>
            <w:shd w:val="clear" w:color="auto" w:fill="E9EFF7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34.4%</w:t>
            </w:r>
          </w:p>
        </w:tc>
        <w:tc>
          <w:tcPr>
            <w:shd w:val="clear" w:color="auto" w:fill="E9EFF7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849</w:t>
            </w:r>
          </w:p>
        </w:tc>
        <w:tc>
          <w:tcPr>
            <w:shd w:val="clear" w:color="auto" w:fill="E9EFF7"/>
            <w:tcW w:type="dxa" w:w="187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342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$181.90</w:t>
            </w:r>
          </w:p>
        </w:tc>
      </w:tr>
      <w:tr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Clothing</w:t>
            </w:r>
          </w:p>
        </w:tc>
        <w:tc>
          <w:tcPr>
            <w:shd w:val="clear" w:color="auto" w:fill="FFFFFF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$155,580</w:t>
            </w:r>
          </w:p>
        </w:tc>
        <w:tc>
          <w:tcPr>
            <w:shd w:val="clear" w:color="auto" w:fill="FFFFFF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34.1%</w:t>
            </w:r>
          </w:p>
        </w:tc>
        <w:tc>
          <w:tcPr>
            <w:shd w:val="clear" w:color="auto" w:fill="FFFFFF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894</w:t>
            </w:r>
          </w:p>
        </w:tc>
        <w:tc>
          <w:tcPr>
            <w:shd w:val="clear" w:color="auto" w:fill="FFFFFF"/>
            <w:tcW w:type="dxa" w:w="187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351</w:t>
            </w:r>
          </w:p>
        </w:tc>
        <w:tc>
          <w:tcPr>
            <w:shd w:val="clear" w:color="auto" w:fill="FFFFFF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$174.29</w:t>
            </w:r>
          </w:p>
        </w:tc>
      </w:tr>
      <w:tr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Beauty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$143,515</w:t>
            </w:r>
          </w:p>
        </w:tc>
        <w:tc>
          <w:tcPr>
            <w:shd w:val="clear" w:color="auto" w:fill="E9EFF7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31.5%</w:t>
            </w:r>
          </w:p>
        </w:tc>
        <w:tc>
          <w:tcPr>
            <w:shd w:val="clear" w:color="auto" w:fill="E9EFF7"/>
            <w:tcW w:type="dxa" w:w="158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771</w:t>
            </w:r>
          </w:p>
        </w:tc>
        <w:tc>
          <w:tcPr>
            <w:shd w:val="clear" w:color="auto" w:fill="E9EFF7"/>
            <w:tcW w:type="dxa" w:w="187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307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$184.06</w:t>
            </w:r>
          </w:p>
        </w:tc>
      </w:tr>
      <w:tr>
        <w:tc>
          <w:tcPr>
            <w:shd w:val="clear" w:color="auto" w:fill="D6E4F0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TOTAL</w:t>
            </w:r>
          </w:p>
        </w:tc>
        <w:tc>
          <w:tcPr>
            <w:shd w:val="clear" w:color="auto" w:fill="D6E4F0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$456,000</w:t>
            </w:r>
          </w:p>
        </w:tc>
        <w:tc>
          <w:tcPr>
            <w:shd w:val="clear" w:color="auto" w:fill="D6E4F0"/>
            <w:tcW w:type="dxa" w:w="1584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100%</w:t>
            </w:r>
          </w:p>
        </w:tc>
        <w:tc>
          <w:tcPr>
            <w:shd w:val="clear" w:color="auto" w:fill="D6E4F0"/>
            <w:tcW w:type="dxa" w:w="1584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2,514</w:t>
            </w:r>
          </w:p>
        </w:tc>
        <w:tc>
          <w:tcPr>
            <w:shd w:val="clear" w:color="auto" w:fill="D6E4F0"/>
            <w:tcW w:type="dxa" w:w="1872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1,000</w:t>
            </w:r>
          </w:p>
        </w:tc>
        <w:tc>
          <w:tcPr>
            <w:shd w:val="clear" w:color="auto" w:fill="D6E4F0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$180.08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0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Revenue by Product Category (Bar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0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Units Sold by Product Category (Bar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93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9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Revenue Share by Product Category (Pie Chart)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4. Monthly &amp; Quarterly Revenue Trends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Monthly revenue fluctuated throughout the year with May being the peak month ($53,150). Q4 was the strongest quarter at $126,190, driven by October and December performance. Q3 showed the weakest performance at $96,045, indicating potential for targeted campaigns during the July–September period.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shd w:val="clear" w:color="auto" w:fill="1F3864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Quarter</w:t>
            </w:r>
          </w:p>
        </w:tc>
        <w:tc>
          <w:tcPr>
            <w:shd w:val="clear" w:color="auto" w:fill="1F3864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($)</w:t>
            </w:r>
          </w:p>
        </w:tc>
        <w:tc>
          <w:tcPr>
            <w:shd w:val="clear" w:color="auto" w:fill="1F3864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Annual</w:t>
            </w:r>
          </w:p>
        </w:tc>
        <w:tc>
          <w:tcPr>
            <w:shd w:val="clear" w:color="auto" w:fill="1F3864"/>
            <w:tcW w:type="dxa" w:w="302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Strongest Month</w:t>
            </w:r>
          </w:p>
        </w:tc>
      </w:tr>
      <w:tr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Q1 (Jan–Mar)</w:t>
            </w:r>
          </w:p>
        </w:tc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$110,030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24.1%</w:t>
            </w:r>
          </w:p>
        </w:tc>
        <w:tc>
          <w:tcPr>
            <w:shd w:val="clear" w:color="auto" w:fill="E9EFF7"/>
            <w:tcW w:type="dxa" w:w="302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Feb — $44,060</w:t>
            </w:r>
          </w:p>
        </w:tc>
      </w:tr>
      <w:tr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Q2 (Apr–Jun)</w:t>
            </w:r>
          </w:p>
        </w:tc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$123,735</w:t>
            </w:r>
          </w:p>
        </w:tc>
        <w:tc>
          <w:tcPr>
            <w:shd w:val="clear" w:color="auto" w:fill="FFFFFF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27.1%</w:t>
            </w:r>
          </w:p>
        </w:tc>
        <w:tc>
          <w:tcPr>
            <w:shd w:val="clear" w:color="auto" w:fill="FFFFFF"/>
            <w:tcW w:type="dxa" w:w="302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May — $53,150</w:t>
            </w:r>
          </w:p>
        </w:tc>
      </w:tr>
      <w:tr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Q3 (Jul–Sep)</w:t>
            </w:r>
          </w:p>
        </w:tc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$96,045</w:t>
            </w:r>
          </w:p>
        </w:tc>
        <w:tc>
          <w:tcPr>
            <w:shd w:val="clear" w:color="auto" w:fill="E9EFF7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21.1%</w:t>
            </w:r>
          </w:p>
        </w:tc>
        <w:tc>
          <w:tcPr>
            <w:shd w:val="clear" w:color="auto" w:fill="E9EFF7"/>
            <w:tcW w:type="dxa" w:w="302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Aug — $36,960</w:t>
            </w:r>
          </w:p>
        </w:tc>
      </w:tr>
      <w:tr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Q4 (Oct–Dec)</w:t>
            </w:r>
          </w:p>
        </w:tc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$126,190</w:t>
            </w:r>
          </w:p>
        </w:tc>
        <w:tc>
          <w:tcPr>
            <w:shd w:val="clear" w:color="auto" w:fill="FFFFFF"/>
            <w:tcW w:type="dxa" w:w="2016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27.7%</w:t>
            </w:r>
          </w:p>
        </w:tc>
        <w:tc>
          <w:tcPr>
            <w:shd w:val="clear" w:color="auto" w:fill="FFFFFF"/>
            <w:tcW w:type="dxa" w:w="3024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Dec — $44,690</w:t>
            </w:r>
          </w:p>
        </w:tc>
      </w:tr>
      <w:tr>
        <w:tc>
          <w:tcPr>
            <w:shd w:val="clear" w:color="auto" w:fill="D6E4F0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TOTAL</w:t>
            </w:r>
          </w:p>
        </w:tc>
        <w:tc>
          <w:tcPr>
            <w:shd w:val="clear" w:color="auto" w:fill="D6E4F0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$456,000</w:t>
            </w:r>
          </w:p>
        </w:tc>
        <w:tc>
          <w:tcPr>
            <w:shd w:val="clear" w:color="auto" w:fill="D6E4F0"/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100%</w:t>
            </w:r>
          </w:p>
        </w:tc>
        <w:tc>
          <w:tcPr>
            <w:shd w:val="clear" w:color="auto" w:fill="D6E4F0"/>
            <w:tcW w:type="dxa" w:w="3024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May 2023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6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Monthly Revenue Trend — January to December 2023 (Line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Quarterly Revenue Breakdown (Bar Chart)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5. Customer Demographics</w:t>
      </w:r>
    </w:p>
    <w:p>
      <w:pPr>
        <w:pStyle w:val="Heading2"/>
        <w:jc w:val="left"/>
      </w:pPr>
      <w:r>
        <w:rPr>
          <w:b/>
          <w:color w:val="2E75B6"/>
          <w:sz w:val="26"/>
        </w:rPr>
        <w:t>5.1 Gender Analysis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The customer base is nearly evenly split by gender. Female customers hold a marginal lead at 51.1% of total revenue ($232,840), while Male customers contributed 48.9% ($223,160). Both segments show similar transaction counts and average order values.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shd w:val="clear" w:color="auto" w:fill="1F3864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Gender</w:t>
            </w:r>
          </w:p>
        </w:tc>
        <w:tc>
          <w:tcPr>
            <w:shd w:val="clear" w:color="auto" w:fill="1F3864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($)</w:t>
            </w:r>
          </w:p>
        </w:tc>
        <w:tc>
          <w:tcPr>
            <w:shd w:val="clear" w:color="auto" w:fill="1F3864"/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Share (%)</w:t>
            </w:r>
          </w:p>
        </w:tc>
        <w:tc>
          <w:tcPr>
            <w:shd w:val="clear" w:color="auto" w:fill="1F3864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</w:tr>
      <w:tr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Female</w:t>
            </w:r>
          </w:p>
        </w:tc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$232,840</w:t>
            </w:r>
          </w:p>
        </w:tc>
        <w:tc>
          <w:tcPr>
            <w:shd w:val="clear" w:color="auto" w:fill="E9EFF7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51.1%</w:t>
            </w:r>
          </w:p>
        </w:tc>
        <w:tc>
          <w:tcPr>
            <w:shd w:val="clear" w:color="auto" w:fill="E9EFF7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496</w:t>
            </w:r>
          </w:p>
        </w:tc>
      </w:tr>
      <w:tr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Male</w:t>
            </w:r>
          </w:p>
        </w:tc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$223,160</w:t>
            </w:r>
          </w:p>
        </w:tc>
        <w:tc>
          <w:tcPr>
            <w:shd w:val="clear" w:color="auto" w:fill="FFFFFF"/>
            <w:tcW w:type="dxa" w:w="288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48.9%</w:t>
            </w:r>
          </w:p>
        </w:tc>
        <w:tc>
          <w:tcPr>
            <w:shd w:val="clear" w:color="auto" w:fill="FFFFFF"/>
            <w:tcW w:type="dxa" w:w="216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504</w:t>
            </w:r>
          </w:p>
        </w:tc>
      </w:tr>
      <w:tr>
        <w:tc>
          <w:tcPr>
            <w:shd w:val="clear" w:color="auto" w:fill="D6E4F0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TOTAL</w:t>
            </w:r>
          </w:p>
        </w:tc>
        <w:tc>
          <w:tcPr>
            <w:shd w:val="clear" w:color="auto" w:fill="D6E4F0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$456,000</w:t>
            </w:r>
          </w:p>
        </w:tc>
        <w:tc>
          <w:tcPr>
            <w:shd w:val="clear" w:color="auto" w:fill="D6E4F0"/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100%</w:t>
            </w:r>
          </w:p>
        </w:tc>
        <w:tc>
          <w:tcPr>
            <w:shd w:val="clear" w:color="auto" w:fill="D6E4F0"/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1,000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8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Revenue by Gender (Bar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003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0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Revenue Share by Gender (Pie Chart)</w:t>
      </w:r>
    </w:p>
    <w:p>
      <w:pPr>
        <w:pStyle w:val="Heading2"/>
        <w:jc w:val="left"/>
      </w:pPr>
      <w:r>
        <w:rPr>
          <w:b/>
          <w:color w:val="2E75B6"/>
          <w:sz w:val="26"/>
        </w:rPr>
        <w:t>5.2 Age Group Analysis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The 46–60 age group is the most valuable segment with $147,875 revenue (32.4% share). The 26–35 group is second at $98,480. The 60+ segment is the smallest at $33,225, presenting a growth opportunity through targeted outreach to senior demographics.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shd w:val="clear" w:color="auto" w:fill="1F3864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 Group</w:t>
            </w:r>
          </w:p>
        </w:tc>
        <w:tc>
          <w:tcPr>
            <w:shd w:val="clear" w:color="auto" w:fill="1F3864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($)</w:t>
            </w:r>
          </w:p>
        </w:tc>
        <w:tc>
          <w:tcPr>
            <w:shd w:val="clear" w:color="auto" w:fill="1F3864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 (%)</w:t>
            </w:r>
          </w:p>
        </w:tc>
      </w:tr>
      <w:tr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18-25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$84,550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18.5%</w:t>
            </w:r>
          </w:p>
        </w:tc>
      </w:tr>
      <w:tr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26-35</w:t>
            </w:r>
          </w:p>
        </w:tc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$98,480</w:t>
            </w:r>
          </w:p>
        </w:tc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21.6%</w:t>
            </w:r>
          </w:p>
        </w:tc>
      </w:tr>
      <w:tr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36-45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$91,870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20.1%</w:t>
            </w:r>
          </w:p>
        </w:tc>
      </w:tr>
      <w:tr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46-60</w:t>
            </w:r>
          </w:p>
        </w:tc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$147,875</w:t>
            </w:r>
          </w:p>
        </w:tc>
        <w:tc>
          <w:tcPr>
            <w:shd w:val="clear" w:color="auto" w:fill="FFFFFF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32.4%</w:t>
            </w:r>
          </w:p>
        </w:tc>
      </w:tr>
      <w:tr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60+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$33,225</w:t>
            </w:r>
          </w:p>
        </w:tc>
        <w:tc>
          <w:tcPr>
            <w:shd w:val="clear" w:color="auto" w:fill="E9EFF7"/>
            <w:tcW w:type="dxa" w:w="2592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7.3%</w:t>
            </w:r>
          </w:p>
        </w:tc>
      </w:tr>
      <w:tr>
        <w:tc>
          <w:tcPr>
            <w:shd w:val="clear" w:color="auto" w:fill="D6E4F0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TOTAL</w:t>
            </w:r>
          </w:p>
        </w:tc>
        <w:tc>
          <w:tcPr>
            <w:shd w:val="clear" w:color="auto" w:fill="D6E4F0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$456,000</w:t>
            </w:r>
          </w:p>
        </w:tc>
        <w:tc>
          <w:tcPr>
            <w:shd w:val="clear" w:color="auto" w:fill="D6E4F0"/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100%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Revenue by Customer Age Group (Bar Chart)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6. Transaction Deep-Dive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Transaction-level analysis reveals that total order amounts range from $25 to $2,000. The median order value is $135, while the average is $456 — the gap indicating a right-skewed distribution driven by high-value Electronics purchases. Most customers purchase 1–4 units per transaction.</w:t>
      </w:r>
    </w:p>
    <w:tbl>
      <w:tblPr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shd w:val="clear" w:color="auto" w:fill="1F3864"/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shd w:val="clear" w:color="auto" w:fill="1F3864"/>
            <w:tcW w:type="dxa" w:w="36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 ($)</w:t>
            </w:r>
          </w:p>
        </w:tc>
      </w:tr>
      <w:tr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Minimum</w:t>
            </w:r>
          </w:p>
        </w:tc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$25</w:t>
            </w:r>
          </w:p>
        </w:tc>
      </w:tr>
      <w:tr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Maximum</w:t>
            </w:r>
          </w:p>
        </w:tc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$2,000</w:t>
            </w:r>
          </w:p>
        </w:tc>
      </w:tr>
      <w:tr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Mean</w:t>
            </w:r>
          </w:p>
        </w:tc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$456.00</w:t>
            </w:r>
          </w:p>
        </w:tc>
      </w:tr>
      <w:tr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Median</w:t>
            </w:r>
          </w:p>
        </w:tc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$135</w:t>
            </w:r>
          </w:p>
        </w:tc>
      </w:tr>
      <w:tr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Std Deviation</w:t>
            </w:r>
          </w:p>
        </w:tc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$560.00</w:t>
            </w:r>
          </w:p>
        </w:tc>
      </w:tr>
      <w:tr>
        <w:tc>
          <w:tcPr>
            <w:shd w:val="clear" w:color="auto" w:fill="FFFFFF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25th Percentile</w:t>
            </w:r>
          </w:p>
        </w:tc>
        <w:tc>
          <w:tcPr>
            <w:shd w:val="clear" w:color="auto" w:fill="FFFFFF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$60</w:t>
            </w:r>
          </w:p>
        </w:tc>
      </w:tr>
      <w:tr>
        <w:tc>
          <w:tcPr>
            <w:shd w:val="clear" w:color="auto" w:fill="E9EFF7"/>
            <w:tcW w:type="dxa" w:w="432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75th Percentile</w:t>
            </w:r>
          </w:p>
        </w:tc>
        <w:tc>
          <w:tcPr>
            <w:shd w:val="clear" w:color="auto" w:fill="E9EFF7"/>
            <w:tcW w:type="dxa" w:w="3600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</w:rPr>
              <w:t>$900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222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Quantity per Transaction Distribution (Bar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60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Figure: Transaction Count by Price per Unit (Horizontal Bar Chart)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7. Key Findings &amp; Recommendations</w:t>
      </w:r>
    </w:p>
    <w:p>
      <w:pPr>
        <w:pStyle w:val="Heading2"/>
        <w:jc w:val="left"/>
      </w:pPr>
      <w:r>
        <w:rPr>
          <w:b/>
          <w:color w:val="2E75B6"/>
          <w:sz w:val="26"/>
        </w:rPr>
        <w:t>7.1 Key Findings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Q4 Dominance: </w:t>
      </w:r>
      <w:r>
        <w:rPr>
          <w:color w:val="333333"/>
          <w:sz w:val="22"/>
        </w:rPr>
        <w:t>Q4 was the strongest quarter with $126,190 in revenue — 27.7% of annual total. Seasonal demand peaks in October and December.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Electronics Leads: </w:t>
      </w:r>
      <w:r>
        <w:rPr>
          <w:color w:val="333333"/>
          <w:sz w:val="22"/>
        </w:rPr>
        <w:t>Electronics generated the highest category revenue ($156,905) driven by high price-per-unit ($181.90 average).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Balanced Categories: </w:t>
      </w:r>
      <w:r>
        <w:rPr>
          <w:color w:val="333333"/>
          <w:sz w:val="22"/>
        </w:rPr>
        <w:t>Revenue spread across categories is tight (34.4% / 34.1% / 31.5%), reducing concentration risk.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Female Customer Edge: </w:t>
      </w:r>
      <w:r>
        <w:rPr>
          <w:color w:val="333333"/>
          <w:sz w:val="22"/>
        </w:rPr>
        <w:t>Female customers contribute marginally more revenue (51.1%) with near-equal transaction counts.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Mid-Age Segment is Key: </w:t>
      </w:r>
      <w:r>
        <w:rPr>
          <w:color w:val="333333"/>
          <w:sz w:val="22"/>
        </w:rPr>
        <w:t>The 46–60 age bracket contributes 32.4% of total revenue, far exceeding any other age group.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Q3 Underperformance: </w:t>
      </w:r>
      <w:r>
        <w:rPr>
          <w:color w:val="333333"/>
          <w:sz w:val="22"/>
        </w:rPr>
        <w:t>Q3 revenue ($96,045) lags other quarters by 9–24%, suggesting a potential seasonal dip requiring attention.</w:t>
      </w:r>
    </w:p>
    <w:p>
      <w:pPr>
        <w:pStyle w:val="ListBullet"/>
        <w:spacing w:after="80"/>
      </w:pPr>
      <w:r>
        <w:rPr>
          <w:b/>
          <w:color w:val="1F3864"/>
          <w:sz w:val="22"/>
        </w:rPr>
        <w:t xml:space="preserve">High AOV: </w:t>
      </w:r>
      <w:r>
        <w:rPr>
          <w:color w:val="333333"/>
          <w:sz w:val="22"/>
        </w:rPr>
        <w:t>Average order value of $456 reflects a premium retail proposition and strong per-visit monetisation.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7.2 Strategic Recommendations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Boost Q3 Sales: </w:t>
      </w:r>
      <w:r>
        <w:rPr>
          <w:color w:val="333333"/>
          <w:sz w:val="22"/>
        </w:rPr>
        <w:t>Launch mid-year promotions (July–September) — flash sales, bundles, or loyalty rewards — to address the Q3 revenue gap.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Target 46–60 Segment: </w:t>
      </w:r>
      <w:r>
        <w:rPr>
          <w:color w:val="333333"/>
          <w:sz w:val="22"/>
        </w:rPr>
        <w:t>Expand product lines and personalised campaigns aligned with mid-age consumer preferences, the highest-revenue demographic.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Grow 60+ Segment: </w:t>
      </w:r>
      <w:r>
        <w:rPr>
          <w:color w:val="333333"/>
          <w:sz w:val="22"/>
        </w:rPr>
        <w:t>The 60+ age group generates only 7.3% of revenue despite being a growing demographic. Introduce senior-friendly offerings and communication channels.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Electronics Upsell: </w:t>
      </w:r>
      <w:r>
        <w:rPr>
          <w:color w:val="333333"/>
          <w:sz w:val="22"/>
        </w:rPr>
        <w:t>Leverage Electronics' premium AOV by promoting accessories and warranties at point-of-sale.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Beauty Category Investment: </w:t>
      </w:r>
      <w:r>
        <w:rPr>
          <w:color w:val="333333"/>
          <w:sz w:val="22"/>
        </w:rPr>
        <w:t>Beauty trails other categories by ~$13K. Invest in product range expansion and influencer marketing to close the gap.</w:t>
      </w:r>
    </w:p>
    <w:p>
      <w:pPr>
        <w:pStyle w:val="ListBullet"/>
        <w:spacing w:after="80"/>
      </w:pPr>
      <w:r>
        <w:rPr>
          <w:b/>
          <w:color w:val="2E75B6"/>
          <w:sz w:val="22"/>
        </w:rPr>
        <w:t xml:space="preserve">Gender-Neutral Strategy: </w:t>
      </w:r>
      <w:r>
        <w:rPr>
          <w:color w:val="333333"/>
          <w:sz w:val="22"/>
        </w:rPr>
        <w:t>The near-equal revenue split by gender validates inclusive product curation — continue to expand unisex categories.</w:t>
      </w:r>
    </w:p>
    <w:p>
      <w:pPr>
        <w:pBdr>
          <w:bottom w:val="single" w:sz="6" w:space="1" w:color="2E75B6"/>
        </w:pBdr>
        <w:spacing w:after="160"/>
      </w:pPr>
    </w:p>
    <w:p>
      <w:pPr>
        <w:pStyle w:val="Heading1"/>
        <w:jc w:val="left"/>
      </w:pPr>
      <w:r>
        <w:rPr>
          <w:b/>
          <w:color w:val="1F3864"/>
          <w:sz w:val="32"/>
        </w:rPr>
        <w:t>8. Conclusion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The retail business demonstrated solid performance in 2023, achieving $456,000 in total revenue across 1,000 transactions. The balanced category distribution, premium average order value, and broad customer demographic reach indicate a healthy and diversified retail operation.</w:t>
      </w:r>
    </w:p>
    <w:p>
      <w:pPr>
        <w:spacing w:after="120"/>
        <w:jc w:val="left"/>
      </w:pPr>
      <w:r>
        <w:rPr>
          <w:b w:val="0"/>
          <w:i w:val="0"/>
          <w:color w:val="333333"/>
          <w:sz w:val="22"/>
        </w:rPr>
        <w:t>Key opportunities lie in addressing Q3 seasonal weakness, cultivating the under-served 60+ demographic, and deepening Electronics upsell programmes. With targeted interventions in these areas, a 10–15% revenue uplift in the next fiscal year is a realistic and achievable target.</w:t>
      </w:r>
    </w:p>
    <w:p>
      <w:pPr>
        <w:spacing w:after="120"/>
        <w:jc w:val="left"/>
      </w:pPr>
      <w:r>
        <w:rPr>
          <w:b w:val="0"/>
          <w:i/>
          <w:color w:val="808080"/>
          <w:sz w:val="20"/>
        </w:rPr>
        <w:t>This analysis was powered by Python (Pandas, Matplotlib) and covers the full retail_sales_dataset.csv of 1,000 transactions. All figures are sourced directly from the dataset.</w:t>
      </w:r>
    </w:p>
    <w:p>
      <w:pPr>
        <w:pBdr>
          <w:bottom w:val="single" w:sz="6" w:space="1" w:color="2E75B6"/>
        </w:pBdr>
        <w:spacing w:after="160"/>
      </w:pPr>
    </w:p>
    <w:p>
      <w:pPr>
        <w:spacing w:after="120"/>
        <w:jc w:val="center"/>
      </w:pPr>
      <w:r>
        <w:rPr>
          <w:b w:val="0"/>
          <w:i/>
          <w:color w:val="808080"/>
          <w:sz w:val="18"/>
        </w:rPr>
        <w:t>Retail Sales Analysis Report 2023  |  Retail Analytics Team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