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37F1D" w14:textId="77777777" w:rsidR="000C4CEA" w:rsidRPr="000C4CEA" w:rsidRDefault="000C4CEA" w:rsidP="000C4CEA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C4CE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Glossary terms from module 1</w:t>
      </w:r>
    </w:p>
    <w:p w14:paraId="01904F3C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0C4CEA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>Terms and definitions from Course 8, Module 1</w:t>
      </w:r>
    </w:p>
    <w:p w14:paraId="183C6028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Business continuity plan (BCP)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 document that outlines the procedures to sustain business operations during and after a significant disruption</w:t>
      </w:r>
    </w:p>
    <w:p w14:paraId="5F418A37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Confidential data: 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Data that often has limits on the number of people who have access to it</w:t>
      </w:r>
    </w:p>
    <w:p w14:paraId="70604159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Disaster recovery plan: 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A plan that allows an organization’s security team to outline the steps needed to minimize the impact of a security incident</w:t>
      </w:r>
    </w:p>
    <w:p w14:paraId="37B7E1ED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Private data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Information that should be kept from the public</w:t>
      </w:r>
    </w:p>
    <w:p w14:paraId="24631ED6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Public data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Data that is already accessible to the public and poses a minimal risk to the organization if viewed or shared by others</w:t>
      </w:r>
    </w:p>
    <w:p w14:paraId="09A2B423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 xml:space="preserve">Security mindset: 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The ability to evaluate risk and constantly seek out and identify the potential or actual breach of a system, application, or data</w:t>
      </w:r>
    </w:p>
    <w:p w14:paraId="41E565A0" w14:textId="77777777" w:rsidR="000C4CEA" w:rsidRPr="000C4CEA" w:rsidRDefault="000C4CEA" w:rsidP="000C4CEA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</w:pPr>
      <w:r w:rsidRPr="000C4CEA">
        <w:rPr>
          <w:rFonts w:ascii="unset" w:eastAsia="Times New Roman" w:hAnsi="unset" w:cs="Times New Roman"/>
          <w:b/>
          <w:bCs/>
          <w:color w:val="1F1F1F"/>
          <w:kern w:val="0"/>
          <w:sz w:val="24"/>
          <w:szCs w:val="24"/>
          <w:lang w:eastAsia="en-IN"/>
          <w14:ligatures w14:val="none"/>
        </w:rPr>
        <w:t>Sensitive data</w:t>
      </w:r>
      <w:r w:rsidRPr="000C4CEA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lang w:eastAsia="en-IN"/>
          <w14:ligatures w14:val="none"/>
        </w:rPr>
        <w:t>: A type of data that includes personally identifiable information (PII), sensitive personally identifiable information (SPII), and protected health information (PHI)</w:t>
      </w:r>
    </w:p>
    <w:p w14:paraId="39D80DF0" w14:textId="77777777" w:rsidR="00A94A3C" w:rsidRDefault="00A94A3C"/>
    <w:sectPr w:rsidR="00A94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EA"/>
    <w:rsid w:val="000859F8"/>
    <w:rsid w:val="000C4CEA"/>
    <w:rsid w:val="00135338"/>
    <w:rsid w:val="00A94A3C"/>
    <w:rsid w:val="00FC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097D"/>
  <w15:chartTrackingRefBased/>
  <w15:docId w15:val="{BA9788F4-E5DA-408B-B2DC-CCA0FD49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4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4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4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C4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4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4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CE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C4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9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20"/>
  <w:targetScreenSz w:val="1152x9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Garai</dc:creator>
  <cp:keywords/>
  <dc:description/>
  <cp:lastModifiedBy>Suman Garai</cp:lastModifiedBy>
  <cp:revision>1</cp:revision>
  <dcterms:created xsi:type="dcterms:W3CDTF">2024-07-06T23:34:00Z</dcterms:created>
  <dcterms:modified xsi:type="dcterms:W3CDTF">2024-07-06T23:34:00Z</dcterms:modified>
</cp:coreProperties>
</file>