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2FB" w:rsidRDefault="00BC42FB" w:rsidP="00992DC6">
      <w:pPr>
        <w:jc w:val="center"/>
        <w:rPr>
          <w:b/>
        </w:rPr>
      </w:pPr>
      <w:bookmarkStart w:id="0" w:name="_Toc404697090"/>
      <w:bookmarkStart w:id="1" w:name="_Toc404697135"/>
      <w:bookmarkStart w:id="2" w:name="_Toc404697352"/>
      <w:bookmarkStart w:id="3" w:name="_Toc404697857"/>
      <w:bookmarkStart w:id="4" w:name="_Toc404698331"/>
      <w:bookmarkStart w:id="5" w:name="_Toc404698615"/>
      <w:bookmarkStart w:id="6" w:name="_Toc404698918"/>
      <w:bookmarkStart w:id="7" w:name="_Toc404699080"/>
      <w:bookmarkStart w:id="8" w:name="_Toc405303397"/>
      <w:bookmarkStart w:id="9" w:name="_Toc404687284"/>
      <w:bookmarkStart w:id="10" w:name="_Toc404689976"/>
      <w:bookmarkStart w:id="11" w:name="_Toc404689987"/>
      <w:r w:rsidRPr="00992DC6">
        <w:rPr>
          <w:b/>
        </w:rPr>
        <w:t>Table of Contents</w:t>
      </w:r>
    </w:p>
    <w:p w:rsidR="00834497" w:rsidRPr="00992DC6" w:rsidRDefault="00834497" w:rsidP="00992DC6">
      <w:pPr>
        <w:jc w:val="center"/>
        <w:rPr>
          <w:b/>
        </w:rPr>
      </w:pPr>
    </w:p>
    <w:p w:rsidR="00043996" w:rsidRPr="00043996" w:rsidRDefault="00834497">
      <w:pPr>
        <w:pStyle w:val="TOC1"/>
        <w:rPr>
          <w:rFonts w:ascii="Times New Roman" w:eastAsiaTheme="minorEastAsia" w:hAnsi="Times New Roman"/>
          <w:bCs w:val="0"/>
          <w:sz w:val="24"/>
          <w:szCs w:val="24"/>
        </w:rPr>
      </w:pPr>
      <w:r w:rsidRPr="00043996">
        <w:rPr>
          <w:rFonts w:ascii="Times New Roman" w:hAnsi="Times New Roman"/>
          <w:sz w:val="24"/>
          <w:szCs w:val="24"/>
        </w:rPr>
        <w:fldChar w:fldCharType="begin"/>
      </w:r>
      <w:r w:rsidRPr="00043996">
        <w:rPr>
          <w:rFonts w:ascii="Times New Roman" w:hAnsi="Times New Roman"/>
          <w:sz w:val="24"/>
          <w:szCs w:val="24"/>
        </w:rPr>
        <w:instrText xml:space="preserve"> TOC \o "1-2" \u </w:instrText>
      </w:r>
      <w:r w:rsidRPr="00043996">
        <w:rPr>
          <w:rFonts w:ascii="Times New Roman" w:hAnsi="Times New Roman"/>
          <w:sz w:val="24"/>
          <w:szCs w:val="24"/>
        </w:rPr>
        <w:fldChar w:fldCharType="separate"/>
      </w:r>
      <w:r w:rsidR="00043996" w:rsidRPr="00043996">
        <w:rPr>
          <w:rFonts w:ascii="Times New Roman" w:hAnsi="Times New Roman"/>
          <w:sz w:val="24"/>
          <w:szCs w:val="24"/>
        </w:rPr>
        <w:t>1.</w:t>
      </w:r>
      <w:r w:rsidR="00043996" w:rsidRPr="00043996">
        <w:rPr>
          <w:rFonts w:ascii="Times New Roman" w:eastAsiaTheme="minorEastAsia" w:hAnsi="Times New Roman"/>
          <w:bCs w:val="0"/>
          <w:sz w:val="24"/>
          <w:szCs w:val="24"/>
        </w:rPr>
        <w:tab/>
      </w:r>
      <w:r w:rsidR="00043996" w:rsidRPr="00043996">
        <w:rPr>
          <w:rFonts w:ascii="Times New Roman" w:hAnsi="Times New Roman"/>
          <w:sz w:val="24"/>
          <w:szCs w:val="24"/>
        </w:rPr>
        <w:t>Objective</w:t>
      </w:r>
      <w:r w:rsidR="00043996" w:rsidRPr="00043996">
        <w:rPr>
          <w:rFonts w:ascii="Times New Roman" w:hAnsi="Times New Roman"/>
          <w:sz w:val="24"/>
          <w:szCs w:val="24"/>
        </w:rPr>
        <w:tab/>
      </w:r>
      <w:r w:rsidR="00043996" w:rsidRPr="00043996">
        <w:rPr>
          <w:rFonts w:ascii="Times New Roman" w:hAnsi="Times New Roman"/>
          <w:sz w:val="24"/>
          <w:szCs w:val="24"/>
        </w:rPr>
        <w:fldChar w:fldCharType="begin"/>
      </w:r>
      <w:r w:rsidR="00043996" w:rsidRPr="00043996">
        <w:rPr>
          <w:rFonts w:ascii="Times New Roman" w:hAnsi="Times New Roman"/>
          <w:sz w:val="24"/>
          <w:szCs w:val="24"/>
        </w:rPr>
        <w:instrText xml:space="preserve"> PAGEREF _Toc467163201 \h </w:instrText>
      </w:r>
      <w:r w:rsidR="00043996" w:rsidRPr="00043996">
        <w:rPr>
          <w:rFonts w:ascii="Times New Roman" w:hAnsi="Times New Roman"/>
          <w:sz w:val="24"/>
          <w:szCs w:val="24"/>
        </w:rPr>
      </w:r>
      <w:r w:rsidR="00043996" w:rsidRPr="00043996">
        <w:rPr>
          <w:rFonts w:ascii="Times New Roman" w:hAnsi="Times New Roman"/>
          <w:sz w:val="24"/>
          <w:szCs w:val="24"/>
        </w:rPr>
        <w:fldChar w:fldCharType="separate"/>
      </w:r>
      <w:r w:rsidR="00777CDF">
        <w:rPr>
          <w:rFonts w:ascii="Times New Roman" w:hAnsi="Times New Roman"/>
          <w:sz w:val="24"/>
          <w:szCs w:val="24"/>
        </w:rPr>
        <w:t>2</w:t>
      </w:r>
      <w:r w:rsidR="00043996" w:rsidRPr="00043996">
        <w:rPr>
          <w:rFonts w:ascii="Times New Roman" w:hAnsi="Times New Roman"/>
          <w:sz w:val="24"/>
          <w:szCs w:val="24"/>
        </w:rPr>
        <w:fldChar w:fldCharType="end"/>
      </w:r>
    </w:p>
    <w:p w:rsidR="00043996" w:rsidRPr="00043996" w:rsidRDefault="00043996">
      <w:pPr>
        <w:pStyle w:val="TOC1"/>
        <w:rPr>
          <w:rFonts w:ascii="Times New Roman" w:eastAsiaTheme="minorEastAsia" w:hAnsi="Times New Roman"/>
          <w:bCs w:val="0"/>
          <w:sz w:val="24"/>
          <w:szCs w:val="24"/>
        </w:rPr>
      </w:pPr>
      <w:r w:rsidRPr="00043996">
        <w:rPr>
          <w:rFonts w:ascii="Times New Roman" w:hAnsi="Times New Roman"/>
          <w:caps/>
          <w:sz w:val="24"/>
          <w:szCs w:val="24"/>
        </w:rPr>
        <w:t>2.</w:t>
      </w:r>
      <w:r w:rsidRPr="00043996">
        <w:rPr>
          <w:rFonts w:ascii="Times New Roman" w:eastAsiaTheme="minorEastAsia" w:hAnsi="Times New Roman"/>
          <w:bCs w:val="0"/>
          <w:sz w:val="24"/>
          <w:szCs w:val="24"/>
        </w:rPr>
        <w:tab/>
      </w:r>
      <w:r w:rsidRPr="00043996">
        <w:rPr>
          <w:rFonts w:ascii="Times New Roman" w:hAnsi="Times New Roman"/>
          <w:sz w:val="24"/>
          <w:szCs w:val="24"/>
        </w:rPr>
        <w:t>Scope</w:t>
      </w:r>
      <w:r w:rsidRPr="00043996">
        <w:rPr>
          <w:rFonts w:ascii="Times New Roman" w:hAnsi="Times New Roman"/>
          <w:sz w:val="24"/>
          <w:szCs w:val="24"/>
        </w:rPr>
        <w:tab/>
      </w:r>
      <w:r w:rsidRPr="00043996">
        <w:rPr>
          <w:rFonts w:ascii="Times New Roman" w:hAnsi="Times New Roman"/>
          <w:sz w:val="24"/>
          <w:szCs w:val="24"/>
        </w:rPr>
        <w:fldChar w:fldCharType="begin"/>
      </w:r>
      <w:r w:rsidRPr="00043996">
        <w:rPr>
          <w:rFonts w:ascii="Times New Roman" w:hAnsi="Times New Roman"/>
          <w:sz w:val="24"/>
          <w:szCs w:val="24"/>
        </w:rPr>
        <w:instrText xml:space="preserve"> PAGEREF _Toc467163202 \h </w:instrText>
      </w:r>
      <w:r w:rsidRPr="00043996">
        <w:rPr>
          <w:rFonts w:ascii="Times New Roman" w:hAnsi="Times New Roman"/>
          <w:sz w:val="24"/>
          <w:szCs w:val="24"/>
        </w:rPr>
      </w:r>
      <w:r w:rsidRPr="00043996">
        <w:rPr>
          <w:rFonts w:ascii="Times New Roman" w:hAnsi="Times New Roman"/>
          <w:sz w:val="24"/>
          <w:szCs w:val="24"/>
        </w:rPr>
        <w:fldChar w:fldCharType="separate"/>
      </w:r>
      <w:r w:rsidR="00777CDF">
        <w:rPr>
          <w:rFonts w:ascii="Times New Roman" w:hAnsi="Times New Roman"/>
          <w:sz w:val="24"/>
          <w:szCs w:val="24"/>
        </w:rPr>
        <w:t>2</w:t>
      </w:r>
      <w:r w:rsidRPr="00043996">
        <w:rPr>
          <w:rFonts w:ascii="Times New Roman" w:hAnsi="Times New Roman"/>
          <w:sz w:val="24"/>
          <w:szCs w:val="24"/>
        </w:rPr>
        <w:fldChar w:fldCharType="end"/>
      </w:r>
    </w:p>
    <w:p w:rsidR="00043996" w:rsidRPr="00043996" w:rsidRDefault="00043996">
      <w:pPr>
        <w:pStyle w:val="TOC1"/>
        <w:rPr>
          <w:rFonts w:ascii="Times New Roman" w:eastAsiaTheme="minorEastAsia" w:hAnsi="Times New Roman"/>
          <w:bCs w:val="0"/>
          <w:sz w:val="24"/>
          <w:szCs w:val="24"/>
        </w:rPr>
      </w:pPr>
      <w:r w:rsidRPr="00043996">
        <w:rPr>
          <w:rFonts w:ascii="Times New Roman" w:hAnsi="Times New Roman"/>
          <w:caps/>
          <w:sz w:val="24"/>
          <w:szCs w:val="24"/>
        </w:rPr>
        <w:t>3.</w:t>
      </w:r>
      <w:r w:rsidRPr="00043996">
        <w:rPr>
          <w:rFonts w:ascii="Times New Roman" w:eastAsiaTheme="minorEastAsia" w:hAnsi="Times New Roman"/>
          <w:bCs w:val="0"/>
          <w:sz w:val="24"/>
          <w:szCs w:val="24"/>
        </w:rPr>
        <w:tab/>
      </w:r>
      <w:r w:rsidRPr="00043996">
        <w:rPr>
          <w:rFonts w:ascii="Times New Roman" w:hAnsi="Times New Roman"/>
          <w:sz w:val="24"/>
          <w:szCs w:val="24"/>
        </w:rPr>
        <w:t>Quality Target Product Profile</w:t>
      </w:r>
      <w:r w:rsidRPr="00043996">
        <w:rPr>
          <w:rFonts w:ascii="Times New Roman" w:hAnsi="Times New Roman"/>
          <w:sz w:val="24"/>
          <w:szCs w:val="24"/>
        </w:rPr>
        <w:tab/>
      </w:r>
      <w:r w:rsidRPr="00043996">
        <w:rPr>
          <w:rFonts w:ascii="Times New Roman" w:hAnsi="Times New Roman"/>
          <w:sz w:val="24"/>
          <w:szCs w:val="24"/>
        </w:rPr>
        <w:fldChar w:fldCharType="begin"/>
      </w:r>
      <w:r w:rsidRPr="00043996">
        <w:rPr>
          <w:rFonts w:ascii="Times New Roman" w:hAnsi="Times New Roman"/>
          <w:sz w:val="24"/>
          <w:szCs w:val="24"/>
        </w:rPr>
        <w:instrText xml:space="preserve"> PAGEREF _Toc467163203 \h </w:instrText>
      </w:r>
      <w:r w:rsidRPr="00043996">
        <w:rPr>
          <w:rFonts w:ascii="Times New Roman" w:hAnsi="Times New Roman"/>
          <w:sz w:val="24"/>
          <w:szCs w:val="24"/>
        </w:rPr>
      </w:r>
      <w:r w:rsidRPr="00043996">
        <w:rPr>
          <w:rFonts w:ascii="Times New Roman" w:hAnsi="Times New Roman"/>
          <w:sz w:val="24"/>
          <w:szCs w:val="24"/>
        </w:rPr>
        <w:fldChar w:fldCharType="separate"/>
      </w:r>
      <w:r w:rsidR="00777CDF">
        <w:rPr>
          <w:rFonts w:ascii="Times New Roman" w:hAnsi="Times New Roman"/>
          <w:sz w:val="24"/>
          <w:szCs w:val="24"/>
        </w:rPr>
        <w:t>2</w:t>
      </w:r>
      <w:r w:rsidRPr="00043996">
        <w:rPr>
          <w:rFonts w:ascii="Times New Roman" w:hAnsi="Times New Roman"/>
          <w:sz w:val="24"/>
          <w:szCs w:val="24"/>
        </w:rPr>
        <w:fldChar w:fldCharType="end"/>
      </w:r>
    </w:p>
    <w:p w:rsidR="00043996" w:rsidRPr="00043996" w:rsidRDefault="00043996">
      <w:pPr>
        <w:pStyle w:val="TOC1"/>
        <w:rPr>
          <w:rFonts w:ascii="Times New Roman" w:eastAsiaTheme="minorEastAsia" w:hAnsi="Times New Roman"/>
          <w:bCs w:val="0"/>
          <w:sz w:val="24"/>
          <w:szCs w:val="24"/>
        </w:rPr>
      </w:pPr>
      <w:r w:rsidRPr="00043996">
        <w:rPr>
          <w:rFonts w:ascii="Times New Roman" w:hAnsi="Times New Roman"/>
          <w:sz w:val="24"/>
          <w:szCs w:val="24"/>
        </w:rPr>
        <w:t>4.</w:t>
      </w:r>
      <w:r w:rsidRPr="00043996">
        <w:rPr>
          <w:rFonts w:ascii="Times New Roman" w:eastAsiaTheme="minorEastAsia" w:hAnsi="Times New Roman"/>
          <w:bCs w:val="0"/>
          <w:sz w:val="24"/>
          <w:szCs w:val="24"/>
        </w:rPr>
        <w:tab/>
      </w:r>
      <w:r w:rsidRPr="00043996">
        <w:rPr>
          <w:rFonts w:ascii="Times New Roman" w:hAnsi="Times New Roman"/>
          <w:sz w:val="24"/>
          <w:szCs w:val="24"/>
        </w:rPr>
        <w:t>Critical Quality Attributes Designation</w:t>
      </w:r>
      <w:r w:rsidRPr="00043996">
        <w:rPr>
          <w:rFonts w:ascii="Times New Roman" w:hAnsi="Times New Roman"/>
          <w:sz w:val="24"/>
          <w:szCs w:val="24"/>
        </w:rPr>
        <w:tab/>
      </w:r>
      <w:r w:rsidRPr="00043996">
        <w:rPr>
          <w:rFonts w:ascii="Times New Roman" w:hAnsi="Times New Roman"/>
          <w:sz w:val="24"/>
          <w:szCs w:val="24"/>
        </w:rPr>
        <w:fldChar w:fldCharType="begin"/>
      </w:r>
      <w:r w:rsidRPr="00043996">
        <w:rPr>
          <w:rFonts w:ascii="Times New Roman" w:hAnsi="Times New Roman"/>
          <w:sz w:val="24"/>
          <w:szCs w:val="24"/>
        </w:rPr>
        <w:instrText xml:space="preserve"> PAGEREF _Toc467163204 \h </w:instrText>
      </w:r>
      <w:r w:rsidRPr="00043996">
        <w:rPr>
          <w:rFonts w:ascii="Times New Roman" w:hAnsi="Times New Roman"/>
          <w:sz w:val="24"/>
          <w:szCs w:val="24"/>
        </w:rPr>
      </w:r>
      <w:r w:rsidRPr="00043996">
        <w:rPr>
          <w:rFonts w:ascii="Times New Roman" w:hAnsi="Times New Roman"/>
          <w:sz w:val="24"/>
          <w:szCs w:val="24"/>
        </w:rPr>
        <w:fldChar w:fldCharType="separate"/>
      </w:r>
      <w:r w:rsidR="00777CDF">
        <w:rPr>
          <w:rFonts w:ascii="Times New Roman" w:hAnsi="Times New Roman"/>
          <w:sz w:val="24"/>
          <w:szCs w:val="24"/>
        </w:rPr>
        <w:t>3</w:t>
      </w:r>
      <w:r w:rsidRPr="00043996">
        <w:rPr>
          <w:rFonts w:ascii="Times New Roman" w:hAnsi="Times New Roman"/>
          <w:sz w:val="24"/>
          <w:szCs w:val="24"/>
        </w:rPr>
        <w:fldChar w:fldCharType="end"/>
      </w:r>
    </w:p>
    <w:p w:rsidR="00043996" w:rsidRPr="00043996" w:rsidRDefault="00043996">
      <w:pPr>
        <w:pStyle w:val="TOC1"/>
        <w:rPr>
          <w:rFonts w:ascii="Times New Roman" w:eastAsiaTheme="minorEastAsia" w:hAnsi="Times New Roman"/>
          <w:bCs w:val="0"/>
          <w:sz w:val="24"/>
          <w:szCs w:val="24"/>
        </w:rPr>
      </w:pPr>
      <w:r w:rsidRPr="00043996">
        <w:rPr>
          <w:rFonts w:ascii="Times New Roman" w:hAnsi="Times New Roman"/>
          <w:sz w:val="24"/>
          <w:szCs w:val="24"/>
        </w:rPr>
        <w:t>5.</w:t>
      </w:r>
      <w:r w:rsidRPr="00043996">
        <w:rPr>
          <w:rFonts w:ascii="Times New Roman" w:eastAsiaTheme="minorEastAsia" w:hAnsi="Times New Roman"/>
          <w:bCs w:val="0"/>
          <w:sz w:val="24"/>
          <w:szCs w:val="24"/>
        </w:rPr>
        <w:tab/>
      </w:r>
      <w:r w:rsidRPr="00043996">
        <w:rPr>
          <w:rFonts w:ascii="Times New Roman" w:hAnsi="Times New Roman"/>
          <w:sz w:val="24"/>
          <w:szCs w:val="24"/>
        </w:rPr>
        <w:t>Conclusion</w:t>
      </w:r>
      <w:r w:rsidRPr="00043996">
        <w:rPr>
          <w:rFonts w:ascii="Times New Roman" w:hAnsi="Times New Roman"/>
          <w:sz w:val="24"/>
          <w:szCs w:val="24"/>
        </w:rPr>
        <w:tab/>
      </w:r>
      <w:r w:rsidRPr="00043996">
        <w:rPr>
          <w:rFonts w:ascii="Times New Roman" w:hAnsi="Times New Roman"/>
          <w:sz w:val="24"/>
          <w:szCs w:val="24"/>
        </w:rPr>
        <w:fldChar w:fldCharType="begin"/>
      </w:r>
      <w:r w:rsidRPr="00043996">
        <w:rPr>
          <w:rFonts w:ascii="Times New Roman" w:hAnsi="Times New Roman"/>
          <w:sz w:val="24"/>
          <w:szCs w:val="24"/>
        </w:rPr>
        <w:instrText xml:space="preserve"> PAGEREF _Toc467163205 \h </w:instrText>
      </w:r>
      <w:r w:rsidRPr="00043996">
        <w:rPr>
          <w:rFonts w:ascii="Times New Roman" w:hAnsi="Times New Roman"/>
          <w:sz w:val="24"/>
          <w:szCs w:val="24"/>
        </w:rPr>
      </w:r>
      <w:r w:rsidRPr="00043996">
        <w:rPr>
          <w:rFonts w:ascii="Times New Roman" w:hAnsi="Times New Roman"/>
          <w:sz w:val="24"/>
          <w:szCs w:val="24"/>
        </w:rPr>
        <w:fldChar w:fldCharType="separate"/>
      </w:r>
      <w:r w:rsidR="00777CDF">
        <w:rPr>
          <w:rFonts w:ascii="Times New Roman" w:hAnsi="Times New Roman"/>
          <w:sz w:val="24"/>
          <w:szCs w:val="24"/>
        </w:rPr>
        <w:t>6</w:t>
      </w:r>
      <w:r w:rsidRPr="00043996">
        <w:rPr>
          <w:rFonts w:ascii="Times New Roman" w:hAnsi="Times New Roman"/>
          <w:sz w:val="24"/>
          <w:szCs w:val="24"/>
        </w:rPr>
        <w:fldChar w:fldCharType="end"/>
      </w:r>
    </w:p>
    <w:p w:rsidR="00043996" w:rsidRPr="00043996" w:rsidRDefault="00043996">
      <w:pPr>
        <w:pStyle w:val="TOC1"/>
        <w:rPr>
          <w:rFonts w:ascii="Times New Roman" w:eastAsiaTheme="minorEastAsia" w:hAnsi="Times New Roman"/>
          <w:bCs w:val="0"/>
          <w:sz w:val="24"/>
          <w:szCs w:val="24"/>
        </w:rPr>
      </w:pPr>
      <w:r w:rsidRPr="00043996">
        <w:rPr>
          <w:rFonts w:ascii="Times New Roman" w:hAnsi="Times New Roman"/>
          <w:sz w:val="24"/>
          <w:szCs w:val="24"/>
        </w:rPr>
        <w:t>6.</w:t>
      </w:r>
      <w:r w:rsidRPr="00043996">
        <w:rPr>
          <w:rFonts w:ascii="Times New Roman" w:eastAsiaTheme="minorEastAsia" w:hAnsi="Times New Roman"/>
          <w:bCs w:val="0"/>
          <w:sz w:val="24"/>
          <w:szCs w:val="24"/>
        </w:rPr>
        <w:tab/>
      </w:r>
      <w:r w:rsidRPr="00043996">
        <w:rPr>
          <w:rFonts w:ascii="Times New Roman" w:hAnsi="Times New Roman"/>
          <w:sz w:val="24"/>
          <w:szCs w:val="24"/>
        </w:rPr>
        <w:t>References</w:t>
      </w:r>
      <w:r w:rsidRPr="00043996">
        <w:rPr>
          <w:rFonts w:ascii="Times New Roman" w:hAnsi="Times New Roman"/>
          <w:sz w:val="24"/>
          <w:szCs w:val="24"/>
        </w:rPr>
        <w:tab/>
      </w:r>
      <w:r w:rsidRPr="00043996">
        <w:rPr>
          <w:rFonts w:ascii="Times New Roman" w:hAnsi="Times New Roman"/>
          <w:sz w:val="24"/>
          <w:szCs w:val="24"/>
        </w:rPr>
        <w:fldChar w:fldCharType="begin"/>
      </w:r>
      <w:r w:rsidRPr="00043996">
        <w:rPr>
          <w:rFonts w:ascii="Times New Roman" w:hAnsi="Times New Roman"/>
          <w:sz w:val="24"/>
          <w:szCs w:val="24"/>
        </w:rPr>
        <w:instrText xml:space="preserve"> PAGEREF _Toc467163206 \h </w:instrText>
      </w:r>
      <w:r w:rsidRPr="00043996">
        <w:rPr>
          <w:rFonts w:ascii="Times New Roman" w:hAnsi="Times New Roman"/>
          <w:sz w:val="24"/>
          <w:szCs w:val="24"/>
        </w:rPr>
      </w:r>
      <w:r w:rsidRPr="00043996">
        <w:rPr>
          <w:rFonts w:ascii="Times New Roman" w:hAnsi="Times New Roman"/>
          <w:sz w:val="24"/>
          <w:szCs w:val="24"/>
        </w:rPr>
        <w:fldChar w:fldCharType="separate"/>
      </w:r>
      <w:r w:rsidR="00777CDF">
        <w:rPr>
          <w:rFonts w:ascii="Times New Roman" w:hAnsi="Times New Roman"/>
          <w:sz w:val="24"/>
          <w:szCs w:val="24"/>
        </w:rPr>
        <w:t>7</w:t>
      </w:r>
      <w:r w:rsidRPr="00043996">
        <w:rPr>
          <w:rFonts w:ascii="Times New Roman" w:hAnsi="Times New Roman"/>
          <w:sz w:val="24"/>
          <w:szCs w:val="24"/>
        </w:rPr>
        <w:fldChar w:fldCharType="end"/>
      </w:r>
    </w:p>
    <w:p w:rsidR="00480AEB" w:rsidRPr="00480AEB" w:rsidRDefault="00834497" w:rsidP="00BC42FB">
      <w:pPr>
        <w:rPr>
          <w:bCs/>
          <w:noProof/>
          <w:sz w:val="24"/>
          <w:szCs w:val="24"/>
        </w:rPr>
      </w:pPr>
      <w:r w:rsidRPr="00043996">
        <w:rPr>
          <w:bCs/>
          <w:noProof/>
          <w:sz w:val="24"/>
          <w:szCs w:val="24"/>
        </w:rPr>
        <w:fldChar w:fldCharType="end"/>
      </w:r>
    </w:p>
    <w:p w:rsidR="00480AEB" w:rsidRPr="00480AEB" w:rsidRDefault="00480AEB" w:rsidP="00BC42FB">
      <w:pPr>
        <w:rPr>
          <w:bCs/>
          <w:noProof/>
          <w:sz w:val="24"/>
          <w:szCs w:val="24"/>
        </w:rPr>
      </w:pPr>
    </w:p>
    <w:p w:rsidR="00480AEB" w:rsidRPr="00270412" w:rsidRDefault="00480AEB" w:rsidP="00270412">
      <w:pPr>
        <w:spacing w:after="240"/>
        <w:jc w:val="center"/>
        <w:rPr>
          <w:b/>
          <w:bCs/>
          <w:noProof/>
          <w:szCs w:val="24"/>
        </w:rPr>
      </w:pPr>
      <w:r w:rsidRPr="00270412">
        <w:rPr>
          <w:b/>
          <w:bCs/>
          <w:noProof/>
          <w:szCs w:val="24"/>
        </w:rPr>
        <w:t>List of</w:t>
      </w:r>
      <w:r w:rsidR="00270412" w:rsidRPr="00270412">
        <w:rPr>
          <w:b/>
          <w:bCs/>
          <w:noProof/>
          <w:szCs w:val="24"/>
        </w:rPr>
        <w:t xml:space="preserve"> Tables</w:t>
      </w:r>
      <w:r w:rsidRPr="00270412">
        <w:rPr>
          <w:b/>
          <w:bCs/>
          <w:noProof/>
          <w:szCs w:val="24"/>
        </w:rPr>
        <w:t xml:space="preserve"> </w:t>
      </w:r>
    </w:p>
    <w:p w:rsidR="00270412" w:rsidRPr="00270412" w:rsidRDefault="00480AEB">
      <w:pPr>
        <w:pStyle w:val="TableofFigures"/>
        <w:tabs>
          <w:tab w:val="right" w:leader="dot" w:pos="10070"/>
        </w:tabs>
        <w:rPr>
          <w:rFonts w:eastAsiaTheme="minorEastAsia"/>
          <w:noProof/>
          <w:sz w:val="22"/>
          <w:szCs w:val="22"/>
        </w:rPr>
      </w:pPr>
      <w:r w:rsidRPr="00270412">
        <w:rPr>
          <w:sz w:val="22"/>
          <w:szCs w:val="22"/>
        </w:rPr>
        <w:fldChar w:fldCharType="begin"/>
      </w:r>
      <w:r w:rsidRPr="00270412">
        <w:rPr>
          <w:sz w:val="22"/>
          <w:szCs w:val="22"/>
        </w:rPr>
        <w:instrText xml:space="preserve"> TOC \h \z \c "Table" </w:instrText>
      </w:r>
      <w:r w:rsidRPr="00270412">
        <w:rPr>
          <w:sz w:val="22"/>
          <w:szCs w:val="22"/>
        </w:rPr>
        <w:fldChar w:fldCharType="separate"/>
      </w:r>
      <w:hyperlink w:anchor="_Toc470248495" w:history="1">
        <w:r w:rsidR="00270412" w:rsidRPr="00270412">
          <w:rPr>
            <w:rStyle w:val="Hyperlink"/>
            <w:noProof/>
            <w:sz w:val="22"/>
            <w:szCs w:val="22"/>
          </w:rPr>
          <w:t>Table 1: Gelnique 10% Manufacturing Unit Operations</w:t>
        </w:r>
        <w:r w:rsidR="00270412" w:rsidRPr="00270412">
          <w:rPr>
            <w:noProof/>
            <w:webHidden/>
            <w:sz w:val="22"/>
            <w:szCs w:val="22"/>
          </w:rPr>
          <w:tab/>
        </w:r>
        <w:r w:rsidR="00270412" w:rsidRPr="00270412">
          <w:rPr>
            <w:noProof/>
            <w:webHidden/>
            <w:sz w:val="22"/>
            <w:szCs w:val="22"/>
          </w:rPr>
          <w:fldChar w:fldCharType="begin"/>
        </w:r>
        <w:r w:rsidR="00270412" w:rsidRPr="00270412">
          <w:rPr>
            <w:noProof/>
            <w:webHidden/>
            <w:sz w:val="22"/>
            <w:szCs w:val="22"/>
          </w:rPr>
          <w:instrText xml:space="preserve"> PAGEREF _Toc470248495 \h </w:instrText>
        </w:r>
        <w:r w:rsidR="00270412" w:rsidRPr="00270412">
          <w:rPr>
            <w:noProof/>
            <w:webHidden/>
            <w:sz w:val="22"/>
            <w:szCs w:val="22"/>
          </w:rPr>
        </w:r>
        <w:r w:rsidR="00270412" w:rsidRPr="00270412">
          <w:rPr>
            <w:noProof/>
            <w:webHidden/>
            <w:sz w:val="22"/>
            <w:szCs w:val="22"/>
          </w:rPr>
          <w:fldChar w:fldCharType="separate"/>
        </w:r>
        <w:r w:rsidR="00777CDF">
          <w:rPr>
            <w:noProof/>
            <w:webHidden/>
            <w:sz w:val="22"/>
            <w:szCs w:val="22"/>
          </w:rPr>
          <w:t>2</w:t>
        </w:r>
        <w:r w:rsidR="00270412" w:rsidRPr="00270412">
          <w:rPr>
            <w:noProof/>
            <w:webHidden/>
            <w:sz w:val="22"/>
            <w:szCs w:val="22"/>
          </w:rPr>
          <w:fldChar w:fldCharType="end"/>
        </w:r>
      </w:hyperlink>
    </w:p>
    <w:p w:rsidR="00270412" w:rsidRPr="00270412" w:rsidRDefault="00777CDF">
      <w:pPr>
        <w:pStyle w:val="TableofFigures"/>
        <w:tabs>
          <w:tab w:val="right" w:leader="dot" w:pos="10070"/>
        </w:tabs>
        <w:rPr>
          <w:rFonts w:eastAsiaTheme="minorEastAsia"/>
          <w:noProof/>
          <w:sz w:val="22"/>
          <w:szCs w:val="22"/>
        </w:rPr>
      </w:pPr>
      <w:hyperlink w:anchor="_Toc470248496" w:history="1">
        <w:r w:rsidR="00270412" w:rsidRPr="00270412">
          <w:rPr>
            <w:rStyle w:val="Hyperlink"/>
            <w:iCs/>
            <w:noProof/>
            <w:kern w:val="32"/>
            <w:sz w:val="22"/>
            <w:szCs w:val="22"/>
          </w:rPr>
          <w:t xml:space="preserve">Table 2: Quality Target Product Profile for </w:t>
        </w:r>
        <w:r w:rsidR="00270412" w:rsidRPr="00270412">
          <w:rPr>
            <w:rStyle w:val="Hyperlink"/>
            <w:noProof/>
            <w:sz w:val="22"/>
            <w:szCs w:val="22"/>
          </w:rPr>
          <w:t>Gelnique™ (Oxybutynin Chloride) Gel 10%</w:t>
        </w:r>
        <w:r w:rsidR="00270412" w:rsidRPr="00270412">
          <w:rPr>
            <w:noProof/>
            <w:webHidden/>
            <w:sz w:val="22"/>
            <w:szCs w:val="22"/>
          </w:rPr>
          <w:tab/>
        </w:r>
        <w:r w:rsidR="00270412" w:rsidRPr="00270412">
          <w:rPr>
            <w:noProof/>
            <w:webHidden/>
            <w:sz w:val="22"/>
            <w:szCs w:val="22"/>
          </w:rPr>
          <w:fldChar w:fldCharType="begin"/>
        </w:r>
        <w:r w:rsidR="00270412" w:rsidRPr="00270412">
          <w:rPr>
            <w:noProof/>
            <w:webHidden/>
            <w:sz w:val="22"/>
            <w:szCs w:val="22"/>
          </w:rPr>
          <w:instrText xml:space="preserve"> PAGEREF _Toc470248496 \h </w:instrText>
        </w:r>
        <w:r w:rsidR="00270412" w:rsidRPr="00270412">
          <w:rPr>
            <w:noProof/>
            <w:webHidden/>
            <w:sz w:val="22"/>
            <w:szCs w:val="22"/>
          </w:rPr>
        </w:r>
        <w:r w:rsidR="00270412" w:rsidRPr="00270412">
          <w:rPr>
            <w:noProof/>
            <w:webHidden/>
            <w:sz w:val="22"/>
            <w:szCs w:val="22"/>
          </w:rPr>
          <w:fldChar w:fldCharType="separate"/>
        </w:r>
        <w:r>
          <w:rPr>
            <w:noProof/>
            <w:webHidden/>
            <w:sz w:val="22"/>
            <w:szCs w:val="22"/>
          </w:rPr>
          <w:t>2</w:t>
        </w:r>
        <w:r w:rsidR="00270412" w:rsidRPr="00270412">
          <w:rPr>
            <w:noProof/>
            <w:webHidden/>
            <w:sz w:val="22"/>
            <w:szCs w:val="22"/>
          </w:rPr>
          <w:fldChar w:fldCharType="end"/>
        </w:r>
      </w:hyperlink>
    </w:p>
    <w:p w:rsidR="00270412" w:rsidRPr="00270412" w:rsidRDefault="00777CDF">
      <w:pPr>
        <w:pStyle w:val="TableofFigures"/>
        <w:tabs>
          <w:tab w:val="right" w:leader="dot" w:pos="10070"/>
        </w:tabs>
        <w:rPr>
          <w:rFonts w:eastAsiaTheme="minorEastAsia"/>
          <w:noProof/>
          <w:sz w:val="22"/>
          <w:szCs w:val="22"/>
        </w:rPr>
      </w:pPr>
      <w:hyperlink w:anchor="_Toc470248497" w:history="1">
        <w:r w:rsidR="00270412" w:rsidRPr="00270412">
          <w:rPr>
            <w:rStyle w:val="Hyperlink"/>
            <w:noProof/>
            <w:sz w:val="22"/>
            <w:szCs w:val="22"/>
          </w:rPr>
          <w:t>Table 3: Critical and Non-Critical Quality Attributes of Gelnique™ (Oxybutynin Chloride) Gel 10%</w:t>
        </w:r>
        <w:r w:rsidR="00270412" w:rsidRPr="00270412">
          <w:rPr>
            <w:noProof/>
            <w:webHidden/>
            <w:sz w:val="22"/>
            <w:szCs w:val="22"/>
          </w:rPr>
          <w:tab/>
        </w:r>
        <w:r w:rsidR="00270412" w:rsidRPr="00270412">
          <w:rPr>
            <w:noProof/>
            <w:webHidden/>
            <w:sz w:val="22"/>
            <w:szCs w:val="22"/>
          </w:rPr>
          <w:fldChar w:fldCharType="begin"/>
        </w:r>
        <w:r w:rsidR="00270412" w:rsidRPr="00270412">
          <w:rPr>
            <w:noProof/>
            <w:webHidden/>
            <w:sz w:val="22"/>
            <w:szCs w:val="22"/>
          </w:rPr>
          <w:instrText xml:space="preserve"> PAGEREF _Toc470248497 \h </w:instrText>
        </w:r>
        <w:r w:rsidR="00270412" w:rsidRPr="00270412">
          <w:rPr>
            <w:noProof/>
            <w:webHidden/>
            <w:sz w:val="22"/>
            <w:szCs w:val="22"/>
          </w:rPr>
        </w:r>
        <w:r w:rsidR="00270412" w:rsidRPr="00270412">
          <w:rPr>
            <w:noProof/>
            <w:webHidden/>
            <w:sz w:val="22"/>
            <w:szCs w:val="22"/>
          </w:rPr>
          <w:fldChar w:fldCharType="separate"/>
        </w:r>
        <w:r>
          <w:rPr>
            <w:noProof/>
            <w:webHidden/>
            <w:sz w:val="22"/>
            <w:szCs w:val="22"/>
          </w:rPr>
          <w:t>4</w:t>
        </w:r>
        <w:r w:rsidR="00270412" w:rsidRPr="00270412">
          <w:rPr>
            <w:noProof/>
            <w:webHidden/>
            <w:sz w:val="22"/>
            <w:szCs w:val="22"/>
          </w:rPr>
          <w:fldChar w:fldCharType="end"/>
        </w:r>
      </w:hyperlink>
    </w:p>
    <w:p w:rsidR="00480AEB" w:rsidRDefault="00480AEB" w:rsidP="00BC42FB">
      <w:pPr>
        <w:rPr>
          <w:sz w:val="16"/>
          <w:szCs w:val="16"/>
        </w:rPr>
        <w:sectPr w:rsidR="00480AEB" w:rsidSect="00F66A59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080" w:bottom="1440" w:left="1080" w:header="720" w:footer="720" w:gutter="0"/>
          <w:cols w:space="708"/>
          <w:docGrid w:linePitch="381"/>
        </w:sectPr>
      </w:pPr>
      <w:r w:rsidRPr="00270412">
        <w:rPr>
          <w:sz w:val="22"/>
          <w:szCs w:val="22"/>
        </w:rPr>
        <w:fldChar w:fldCharType="end"/>
      </w:r>
    </w:p>
    <w:p w:rsidR="00BC42FB" w:rsidRPr="00901A4A" w:rsidRDefault="00BC42FB" w:rsidP="00BC42FB">
      <w:pPr>
        <w:rPr>
          <w:sz w:val="16"/>
          <w:szCs w:val="16"/>
        </w:rPr>
      </w:pPr>
    </w:p>
    <w:p w:rsidR="00BC42FB" w:rsidRPr="00992DC6" w:rsidRDefault="003E021F" w:rsidP="002A6DEC">
      <w:pPr>
        <w:pStyle w:val="Heading1"/>
        <w:ind w:left="0"/>
      </w:pPr>
      <w:bookmarkStart w:id="12" w:name="_Toc412031430"/>
      <w:bookmarkStart w:id="13" w:name="_Toc412118239"/>
      <w:bookmarkStart w:id="14" w:name="_Toc417999278"/>
      <w:bookmarkStart w:id="15" w:name="_Toc417999404"/>
      <w:bookmarkStart w:id="16" w:name="_Toc467163201"/>
      <w:r w:rsidRPr="00992DC6">
        <w:t>Objective</w:t>
      </w:r>
      <w:bookmarkEnd w:id="12"/>
      <w:bookmarkEnd w:id="13"/>
      <w:bookmarkEnd w:id="14"/>
      <w:bookmarkEnd w:id="15"/>
      <w:bookmarkEnd w:id="16"/>
    </w:p>
    <w:p w:rsidR="00BC42FB" w:rsidRPr="001B2048" w:rsidRDefault="00BC42FB" w:rsidP="00C76D9D">
      <w:pPr>
        <w:rPr>
          <w:sz w:val="24"/>
          <w:szCs w:val="24"/>
        </w:rPr>
      </w:pPr>
      <w:r w:rsidRPr="001B2048">
        <w:rPr>
          <w:sz w:val="24"/>
          <w:szCs w:val="24"/>
        </w:rPr>
        <w:t xml:space="preserve">The objective of this document is to define QTPP (Quality Target Product Profile), </w:t>
      </w:r>
      <w:r w:rsidR="00C76D9D" w:rsidRPr="001B2048">
        <w:rPr>
          <w:sz w:val="24"/>
          <w:szCs w:val="24"/>
        </w:rPr>
        <w:t>and identify</w:t>
      </w:r>
      <w:r w:rsidR="002A2A4B" w:rsidRPr="001B2048">
        <w:rPr>
          <w:sz w:val="24"/>
          <w:szCs w:val="24"/>
        </w:rPr>
        <w:t xml:space="preserve"> Critical Quality Attributes (CQAs)</w:t>
      </w:r>
      <w:r w:rsidR="00493157" w:rsidRPr="001B2048">
        <w:rPr>
          <w:sz w:val="24"/>
          <w:szCs w:val="24"/>
        </w:rPr>
        <w:t xml:space="preserve"> and non-</w:t>
      </w:r>
      <w:r w:rsidR="002A2A4B" w:rsidRPr="001B2048">
        <w:rPr>
          <w:sz w:val="24"/>
          <w:szCs w:val="24"/>
        </w:rPr>
        <w:t xml:space="preserve">critical attributes for </w:t>
      </w:r>
      <w:proofErr w:type="spellStart"/>
      <w:r w:rsidR="001B2048" w:rsidRPr="001B2048">
        <w:rPr>
          <w:sz w:val="24"/>
          <w:szCs w:val="24"/>
        </w:rPr>
        <w:t>Gelnique</w:t>
      </w:r>
      <w:proofErr w:type="spellEnd"/>
      <w:r w:rsidR="001B2048" w:rsidRPr="001B2048">
        <w:rPr>
          <w:sz w:val="24"/>
          <w:szCs w:val="24"/>
        </w:rPr>
        <w:t xml:space="preserve">™ (Oxybutynin Chloride) Gel 10%. </w:t>
      </w:r>
    </w:p>
    <w:p w:rsidR="003E021F" w:rsidRDefault="003E021F" w:rsidP="00C76D9D">
      <w:pPr>
        <w:rPr>
          <w:bCs/>
          <w:spacing w:val="-3"/>
          <w:sz w:val="24"/>
        </w:rPr>
      </w:pPr>
    </w:p>
    <w:p w:rsidR="00BC42FB" w:rsidRPr="00901A4A" w:rsidRDefault="00BC42FB" w:rsidP="00BC42FB">
      <w:pPr>
        <w:ind w:hanging="446"/>
        <w:rPr>
          <w:bCs/>
          <w:spacing w:val="-3"/>
          <w:sz w:val="16"/>
          <w:szCs w:val="16"/>
        </w:rPr>
      </w:pPr>
    </w:p>
    <w:p w:rsidR="00BC42FB" w:rsidRPr="002A6DEC" w:rsidRDefault="003E021F" w:rsidP="002A6DEC">
      <w:pPr>
        <w:pStyle w:val="Heading1"/>
        <w:ind w:left="0"/>
      </w:pPr>
      <w:bookmarkStart w:id="17" w:name="_Toc412031431"/>
      <w:bookmarkStart w:id="18" w:name="_Toc412118240"/>
      <w:bookmarkStart w:id="19" w:name="_Toc417999279"/>
      <w:bookmarkStart w:id="20" w:name="_Toc417999405"/>
      <w:bookmarkStart w:id="21" w:name="_Toc467163202"/>
      <w:r w:rsidRPr="003E021F">
        <w:t>Scope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7"/>
      <w:bookmarkEnd w:id="18"/>
      <w:bookmarkEnd w:id="19"/>
      <w:bookmarkEnd w:id="20"/>
      <w:bookmarkEnd w:id="21"/>
    </w:p>
    <w:p w:rsidR="003F175E" w:rsidRDefault="003F175E" w:rsidP="003F175E">
      <w:pPr>
        <w:rPr>
          <w:sz w:val="24"/>
        </w:rPr>
      </w:pPr>
      <w:r w:rsidRPr="004D1ECD">
        <w:rPr>
          <w:sz w:val="24"/>
        </w:rPr>
        <w:t xml:space="preserve">The scope of this </w:t>
      </w:r>
      <w:r>
        <w:rPr>
          <w:sz w:val="24"/>
        </w:rPr>
        <w:t>section</w:t>
      </w:r>
      <w:r w:rsidRPr="004D1ECD">
        <w:rPr>
          <w:sz w:val="24"/>
        </w:rPr>
        <w:t xml:space="preserve"> </w:t>
      </w:r>
      <w:r>
        <w:rPr>
          <w:sz w:val="24"/>
        </w:rPr>
        <w:t xml:space="preserve">includes the single concentration of </w:t>
      </w:r>
      <w:proofErr w:type="spellStart"/>
      <w:r>
        <w:rPr>
          <w:sz w:val="24"/>
        </w:rPr>
        <w:t>Gelnique</w:t>
      </w:r>
      <w:proofErr w:type="spellEnd"/>
      <w:r>
        <w:rPr>
          <w:sz w:val="24"/>
        </w:rPr>
        <w:t xml:space="preserve"> 10% </w:t>
      </w:r>
      <w:r w:rsidRPr="004D1ECD">
        <w:rPr>
          <w:sz w:val="24"/>
        </w:rPr>
        <w:t>manufactured at Actavis, Inc. in Salt Lake City, Utah.</w:t>
      </w:r>
      <w:r>
        <w:rPr>
          <w:sz w:val="24"/>
        </w:rPr>
        <w:t xml:space="preserve"> The unit operations and item numbers associated with the manufacturing of </w:t>
      </w:r>
      <w:proofErr w:type="spellStart"/>
      <w:r>
        <w:rPr>
          <w:sz w:val="24"/>
        </w:rPr>
        <w:t>Gelnqiue</w:t>
      </w:r>
      <w:proofErr w:type="spellEnd"/>
      <w:r>
        <w:rPr>
          <w:sz w:val="24"/>
        </w:rPr>
        <w:t xml:space="preserve"> 10% are provided below.</w:t>
      </w:r>
    </w:p>
    <w:p w:rsidR="00A238F1" w:rsidRDefault="00A238F1" w:rsidP="00C76D9D">
      <w:pPr>
        <w:rPr>
          <w:sz w:val="24"/>
        </w:rPr>
      </w:pPr>
    </w:p>
    <w:tbl>
      <w:tblPr>
        <w:tblW w:w="3290" w:type="pct"/>
        <w:jc w:val="center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551"/>
        <w:gridCol w:w="2059"/>
        <w:gridCol w:w="3041"/>
      </w:tblGrid>
      <w:tr w:rsidR="003F175E" w:rsidRPr="003F175E" w:rsidTr="003F175E">
        <w:trPr>
          <w:trHeight w:val="288"/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175E" w:rsidRPr="00EC0B64" w:rsidRDefault="003F175E" w:rsidP="003F175E">
            <w:pPr>
              <w:pStyle w:val="Caption"/>
              <w:keepNext/>
              <w:spacing w:after="0"/>
              <w:jc w:val="center"/>
              <w:rPr>
                <w:color w:val="auto"/>
                <w:sz w:val="20"/>
                <w:szCs w:val="20"/>
              </w:rPr>
            </w:pPr>
            <w:bookmarkStart w:id="22" w:name="_Toc467075195"/>
            <w:bookmarkStart w:id="23" w:name="_Toc470248495"/>
            <w:r w:rsidRPr="003F175E">
              <w:rPr>
                <w:color w:val="auto"/>
                <w:sz w:val="20"/>
                <w:szCs w:val="20"/>
              </w:rPr>
              <w:t xml:space="preserve">Table </w:t>
            </w:r>
            <w:r w:rsidRPr="003F175E">
              <w:rPr>
                <w:color w:val="auto"/>
                <w:sz w:val="20"/>
                <w:szCs w:val="20"/>
              </w:rPr>
              <w:fldChar w:fldCharType="begin"/>
            </w:r>
            <w:r w:rsidRPr="003F175E">
              <w:rPr>
                <w:color w:val="auto"/>
                <w:sz w:val="20"/>
                <w:szCs w:val="20"/>
              </w:rPr>
              <w:instrText xml:space="preserve"> SEQ Table \* ARABIC </w:instrText>
            </w:r>
            <w:r w:rsidRPr="003F175E">
              <w:rPr>
                <w:color w:val="auto"/>
                <w:sz w:val="20"/>
                <w:szCs w:val="20"/>
              </w:rPr>
              <w:fldChar w:fldCharType="separate"/>
            </w:r>
            <w:r w:rsidR="00777CDF">
              <w:rPr>
                <w:noProof/>
                <w:color w:val="auto"/>
                <w:sz w:val="20"/>
                <w:szCs w:val="20"/>
              </w:rPr>
              <w:t>1</w:t>
            </w:r>
            <w:r w:rsidRPr="003F175E">
              <w:rPr>
                <w:color w:val="auto"/>
                <w:sz w:val="20"/>
                <w:szCs w:val="20"/>
              </w:rPr>
              <w:fldChar w:fldCharType="end"/>
            </w:r>
            <w:r w:rsidRPr="003F175E">
              <w:rPr>
                <w:color w:val="auto"/>
                <w:sz w:val="20"/>
                <w:szCs w:val="20"/>
              </w:rPr>
              <w:t xml:space="preserve">: </w:t>
            </w:r>
            <w:proofErr w:type="spellStart"/>
            <w:r w:rsidRPr="003F175E">
              <w:rPr>
                <w:color w:val="auto"/>
                <w:sz w:val="20"/>
                <w:szCs w:val="20"/>
              </w:rPr>
              <w:t>Gelnique</w:t>
            </w:r>
            <w:proofErr w:type="spellEnd"/>
            <w:r w:rsidRPr="003F175E">
              <w:rPr>
                <w:color w:val="auto"/>
                <w:sz w:val="20"/>
                <w:szCs w:val="20"/>
              </w:rPr>
              <w:t xml:space="preserve"> 10% Manufacturing Unit Operations</w:t>
            </w:r>
            <w:bookmarkEnd w:id="22"/>
            <w:bookmarkEnd w:id="23"/>
          </w:p>
        </w:tc>
      </w:tr>
      <w:tr w:rsidR="003F175E" w:rsidRPr="00EC0B64" w:rsidTr="003F175E">
        <w:trPr>
          <w:trHeight w:val="288"/>
          <w:tblHeader/>
          <w:jc w:val="center"/>
        </w:trPr>
        <w:tc>
          <w:tcPr>
            <w:tcW w:w="1166" w:type="pct"/>
            <w:vMerge w:val="restart"/>
            <w:shd w:val="clear" w:color="auto" w:fill="auto"/>
            <w:vAlign w:val="center"/>
            <w:hideMark/>
          </w:tcPr>
          <w:p w:rsidR="003F175E" w:rsidRDefault="003F175E" w:rsidP="00632870">
            <w:pPr>
              <w:jc w:val="center"/>
              <w:rPr>
                <w:b/>
                <w:bCs/>
                <w:sz w:val="20"/>
              </w:rPr>
            </w:pPr>
            <w:r w:rsidRPr="00EC0B64">
              <w:rPr>
                <w:b/>
                <w:bCs/>
                <w:sz w:val="20"/>
              </w:rPr>
              <w:t>Product Strength</w:t>
            </w:r>
          </w:p>
          <w:p w:rsidR="003F175E" w:rsidRPr="00EC0B64" w:rsidRDefault="003F175E" w:rsidP="0063287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(w/w)</w:t>
            </w:r>
          </w:p>
        </w:tc>
        <w:tc>
          <w:tcPr>
            <w:tcW w:w="3834" w:type="pct"/>
            <w:gridSpan w:val="2"/>
            <w:shd w:val="clear" w:color="auto" w:fill="auto"/>
            <w:vAlign w:val="center"/>
          </w:tcPr>
          <w:p w:rsidR="003F175E" w:rsidRPr="00EC0B64" w:rsidRDefault="003F175E" w:rsidP="00632870">
            <w:pPr>
              <w:jc w:val="center"/>
              <w:rPr>
                <w:b/>
                <w:bCs/>
                <w:sz w:val="20"/>
              </w:rPr>
            </w:pPr>
            <w:r w:rsidRPr="00EC0B64">
              <w:rPr>
                <w:b/>
                <w:bCs/>
                <w:sz w:val="20"/>
              </w:rPr>
              <w:t>Operation and Item Number(s)</w:t>
            </w:r>
          </w:p>
        </w:tc>
      </w:tr>
      <w:tr w:rsidR="003F175E" w:rsidRPr="00EC0B64" w:rsidTr="003F175E">
        <w:trPr>
          <w:trHeight w:val="288"/>
          <w:tblHeader/>
          <w:jc w:val="center"/>
        </w:trPr>
        <w:tc>
          <w:tcPr>
            <w:tcW w:w="1166" w:type="pct"/>
            <w:vMerge/>
            <w:shd w:val="clear" w:color="auto" w:fill="auto"/>
            <w:vAlign w:val="center"/>
            <w:hideMark/>
          </w:tcPr>
          <w:p w:rsidR="003F175E" w:rsidRPr="00EC0B64" w:rsidRDefault="003F175E" w:rsidP="00632870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548" w:type="pct"/>
            <w:shd w:val="clear" w:color="auto" w:fill="auto"/>
            <w:vAlign w:val="center"/>
          </w:tcPr>
          <w:p w:rsidR="003F175E" w:rsidRPr="00EC0B64" w:rsidRDefault="003F175E" w:rsidP="006328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Mixing</w:t>
            </w:r>
          </w:p>
        </w:tc>
        <w:tc>
          <w:tcPr>
            <w:tcW w:w="2286" w:type="pct"/>
            <w:shd w:val="clear" w:color="auto" w:fill="auto"/>
            <w:vAlign w:val="center"/>
          </w:tcPr>
          <w:p w:rsidR="003F175E" w:rsidRPr="00EC0B64" w:rsidRDefault="003F175E" w:rsidP="006328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Packaging</w:t>
            </w:r>
          </w:p>
        </w:tc>
      </w:tr>
      <w:tr w:rsidR="003F175E" w:rsidRPr="00EC0B64" w:rsidTr="003F175E">
        <w:trPr>
          <w:trHeight w:val="288"/>
          <w:jc w:val="center"/>
        </w:trPr>
        <w:tc>
          <w:tcPr>
            <w:tcW w:w="1166" w:type="pct"/>
            <w:vMerge w:val="restart"/>
            <w:shd w:val="clear" w:color="auto" w:fill="auto"/>
            <w:vAlign w:val="center"/>
            <w:hideMark/>
          </w:tcPr>
          <w:p w:rsidR="003F175E" w:rsidRPr="00EC0B64" w:rsidRDefault="003F175E" w:rsidP="006328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 mg / g</w:t>
            </w:r>
          </w:p>
        </w:tc>
        <w:tc>
          <w:tcPr>
            <w:tcW w:w="1548" w:type="pct"/>
            <w:vMerge w:val="restart"/>
            <w:shd w:val="clear" w:color="auto" w:fill="auto"/>
            <w:vAlign w:val="center"/>
          </w:tcPr>
          <w:p w:rsidR="003F175E" w:rsidRPr="00EC0B64" w:rsidRDefault="003F175E" w:rsidP="006328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175547</w:t>
            </w:r>
          </w:p>
        </w:tc>
        <w:tc>
          <w:tcPr>
            <w:tcW w:w="2286" w:type="pct"/>
            <w:shd w:val="clear" w:color="auto" w:fill="auto"/>
            <w:vAlign w:val="center"/>
          </w:tcPr>
          <w:p w:rsidR="003F175E" w:rsidRPr="00EC0B64" w:rsidRDefault="003F175E" w:rsidP="006328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52544008430 (US only)</w:t>
            </w:r>
          </w:p>
        </w:tc>
      </w:tr>
      <w:tr w:rsidR="003F175E" w:rsidRPr="00EC0B64" w:rsidTr="003F175E">
        <w:trPr>
          <w:trHeight w:val="288"/>
          <w:jc w:val="center"/>
        </w:trPr>
        <w:tc>
          <w:tcPr>
            <w:tcW w:w="1166" w:type="pct"/>
            <w:vMerge/>
            <w:shd w:val="clear" w:color="auto" w:fill="auto"/>
            <w:vAlign w:val="center"/>
          </w:tcPr>
          <w:p w:rsidR="003F175E" w:rsidRDefault="003F175E" w:rsidP="00632870">
            <w:pPr>
              <w:jc w:val="center"/>
              <w:rPr>
                <w:sz w:val="20"/>
              </w:rPr>
            </w:pPr>
          </w:p>
        </w:tc>
        <w:tc>
          <w:tcPr>
            <w:tcW w:w="1548" w:type="pct"/>
            <w:vMerge/>
            <w:shd w:val="clear" w:color="auto" w:fill="auto"/>
            <w:vAlign w:val="center"/>
          </w:tcPr>
          <w:p w:rsidR="003F175E" w:rsidRDefault="003F175E" w:rsidP="00632870">
            <w:pPr>
              <w:jc w:val="center"/>
              <w:rPr>
                <w:sz w:val="20"/>
              </w:rPr>
            </w:pPr>
          </w:p>
        </w:tc>
        <w:tc>
          <w:tcPr>
            <w:tcW w:w="2286" w:type="pct"/>
            <w:shd w:val="clear" w:color="auto" w:fill="auto"/>
            <w:vAlign w:val="center"/>
          </w:tcPr>
          <w:p w:rsidR="003F175E" w:rsidRDefault="003F175E" w:rsidP="006328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74028708430 (Canada only)</w:t>
            </w:r>
          </w:p>
        </w:tc>
      </w:tr>
    </w:tbl>
    <w:p w:rsidR="00BC42FB" w:rsidRPr="003F175E" w:rsidRDefault="00BC42FB" w:rsidP="00BC42FB">
      <w:pPr>
        <w:spacing w:line="360" w:lineRule="auto"/>
        <w:ind w:hanging="450"/>
        <w:rPr>
          <w:sz w:val="24"/>
          <w:szCs w:val="24"/>
        </w:rPr>
      </w:pPr>
      <w:bookmarkStart w:id="24" w:name="_Toc404697092"/>
      <w:bookmarkStart w:id="25" w:name="_Toc404697137"/>
      <w:bookmarkStart w:id="26" w:name="_Toc404697354"/>
      <w:bookmarkStart w:id="27" w:name="_Toc404697859"/>
      <w:bookmarkStart w:id="28" w:name="_Toc404698333"/>
      <w:bookmarkStart w:id="29" w:name="_Toc404698617"/>
      <w:bookmarkStart w:id="30" w:name="_Toc404698920"/>
      <w:bookmarkStart w:id="31" w:name="_Toc404699082"/>
      <w:bookmarkStart w:id="32" w:name="_Toc405303399"/>
    </w:p>
    <w:p w:rsidR="00BC42FB" w:rsidRPr="002A6DEC" w:rsidRDefault="003E021F" w:rsidP="002A6DEC">
      <w:pPr>
        <w:pStyle w:val="Heading1"/>
        <w:ind w:left="0"/>
      </w:pPr>
      <w:bookmarkStart w:id="33" w:name="_Toc412031433"/>
      <w:bookmarkStart w:id="34" w:name="_Toc412118242"/>
      <w:bookmarkStart w:id="35" w:name="_Toc417999280"/>
      <w:bookmarkStart w:id="36" w:name="_Toc417999407"/>
      <w:bookmarkStart w:id="37" w:name="_Toc467163203"/>
      <w:r w:rsidRPr="003E021F">
        <w:t>Quality Target Product Profile</w:t>
      </w:r>
      <w:bookmarkEnd w:id="9"/>
      <w:bookmarkEnd w:id="10"/>
      <w:bookmarkEnd w:id="11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425580" w:rsidRDefault="00BC42FB" w:rsidP="00C76D9D">
      <w:pPr>
        <w:rPr>
          <w:sz w:val="24"/>
          <w:szCs w:val="24"/>
        </w:rPr>
      </w:pPr>
      <w:r w:rsidRPr="00901A4A">
        <w:rPr>
          <w:sz w:val="24"/>
        </w:rPr>
        <w:t xml:space="preserve">QTPP of a product is defined as prospective quality characteristics of a drug product that ideally will be achieved to ensure the desired quality, taking into account </w:t>
      </w:r>
      <w:r w:rsidR="00C87FF3">
        <w:rPr>
          <w:sz w:val="24"/>
        </w:rPr>
        <w:t>quality</w:t>
      </w:r>
      <w:r w:rsidR="00425580">
        <w:rPr>
          <w:sz w:val="24"/>
        </w:rPr>
        <w:t xml:space="preserve"> of the drug product. </w:t>
      </w:r>
      <w:r w:rsidR="00EE398F" w:rsidRPr="00EE398F">
        <w:rPr>
          <w:b/>
          <w:sz w:val="24"/>
          <w:szCs w:val="24"/>
        </w:rPr>
        <w:fldChar w:fldCharType="begin"/>
      </w:r>
      <w:r w:rsidR="00EE398F" w:rsidRPr="00EE398F">
        <w:rPr>
          <w:b/>
          <w:sz w:val="24"/>
          <w:szCs w:val="24"/>
        </w:rPr>
        <w:instrText xml:space="preserve"> REF _Ref470248386 \h  \* MERGEFORMAT </w:instrText>
      </w:r>
      <w:r w:rsidR="00EE398F" w:rsidRPr="00EE398F">
        <w:rPr>
          <w:b/>
          <w:sz w:val="24"/>
          <w:szCs w:val="24"/>
        </w:rPr>
      </w:r>
      <w:r w:rsidR="00EE398F" w:rsidRPr="00EE398F">
        <w:rPr>
          <w:b/>
          <w:sz w:val="24"/>
          <w:szCs w:val="24"/>
        </w:rPr>
        <w:fldChar w:fldCharType="separate"/>
      </w:r>
      <w:r w:rsidR="00777CDF" w:rsidRPr="00777CDF">
        <w:rPr>
          <w:b/>
          <w:iCs/>
          <w:color w:val="000000"/>
          <w:kern w:val="32"/>
          <w:sz w:val="24"/>
          <w:szCs w:val="24"/>
        </w:rPr>
        <w:t xml:space="preserve">Table </w:t>
      </w:r>
      <w:r w:rsidR="00777CDF" w:rsidRPr="00777CDF">
        <w:rPr>
          <w:b/>
          <w:iCs/>
          <w:noProof/>
          <w:color w:val="000000"/>
          <w:kern w:val="32"/>
          <w:sz w:val="24"/>
          <w:szCs w:val="24"/>
        </w:rPr>
        <w:t>2</w:t>
      </w:r>
      <w:r w:rsidR="00EE398F" w:rsidRPr="00EE398F">
        <w:rPr>
          <w:b/>
          <w:sz w:val="24"/>
          <w:szCs w:val="24"/>
        </w:rPr>
        <w:fldChar w:fldCharType="end"/>
      </w:r>
      <w:r w:rsidR="00A53E5F">
        <w:rPr>
          <w:sz w:val="24"/>
          <w:szCs w:val="24"/>
        </w:rPr>
        <w:t xml:space="preserve"> lists QTPP for </w:t>
      </w:r>
      <w:proofErr w:type="spellStart"/>
      <w:r w:rsidR="00A53E5F" w:rsidRPr="001B2048">
        <w:rPr>
          <w:sz w:val="24"/>
          <w:szCs w:val="24"/>
        </w:rPr>
        <w:t>Gelnique</w:t>
      </w:r>
      <w:proofErr w:type="spellEnd"/>
      <w:r w:rsidR="00A53E5F" w:rsidRPr="001B2048">
        <w:rPr>
          <w:sz w:val="24"/>
          <w:szCs w:val="24"/>
        </w:rPr>
        <w:t>™ (Oxybutynin Chloride) Gel 10%</w:t>
      </w:r>
      <w:r w:rsidR="00425580" w:rsidRPr="00425580">
        <w:rPr>
          <w:sz w:val="24"/>
          <w:szCs w:val="24"/>
        </w:rPr>
        <w:t>.</w:t>
      </w:r>
    </w:p>
    <w:p w:rsidR="00A238F1" w:rsidRPr="00901A4A" w:rsidRDefault="00A238F1" w:rsidP="00C76D9D">
      <w:pPr>
        <w:rPr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365"/>
        <w:gridCol w:w="3446"/>
        <w:gridCol w:w="4499"/>
      </w:tblGrid>
      <w:tr w:rsidR="003E021F" w:rsidRPr="001A4D90" w:rsidTr="00991546">
        <w:trPr>
          <w:cantSplit/>
          <w:trHeight w:val="288"/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E021F" w:rsidRPr="001A4D90" w:rsidRDefault="001A4D90" w:rsidP="000A7443">
            <w:pPr>
              <w:pStyle w:val="Caption"/>
              <w:keepNext/>
              <w:spacing w:after="0"/>
              <w:jc w:val="center"/>
              <w:rPr>
                <w:rFonts w:ascii="Times New Roman Bold" w:hAnsi="Times New Roman Bold" w:cs="Arial"/>
                <w:b w:val="0"/>
                <w:bCs w:val="0"/>
                <w:iCs/>
                <w:color w:val="000000"/>
                <w:kern w:val="32"/>
                <w:sz w:val="20"/>
                <w:szCs w:val="20"/>
              </w:rPr>
            </w:pPr>
            <w:bookmarkStart w:id="38" w:name="_Ref470248386"/>
            <w:bookmarkStart w:id="39" w:name="_Toc417999408"/>
            <w:bookmarkStart w:id="40" w:name="_Ref470248365"/>
            <w:bookmarkStart w:id="41" w:name="_Toc470248496"/>
            <w:r w:rsidRPr="001A4D90">
              <w:rPr>
                <w:rFonts w:ascii="Times New Roman Bold" w:hAnsi="Times New Roman Bold" w:cs="Arial"/>
                <w:b w:val="0"/>
                <w:bCs w:val="0"/>
                <w:iCs/>
                <w:color w:val="000000"/>
                <w:kern w:val="32"/>
                <w:sz w:val="20"/>
                <w:szCs w:val="20"/>
              </w:rPr>
              <w:t xml:space="preserve">Table </w:t>
            </w:r>
            <w:r w:rsidRPr="001A4D90">
              <w:rPr>
                <w:rFonts w:ascii="Times New Roman Bold" w:hAnsi="Times New Roman Bold" w:cs="Arial"/>
                <w:b w:val="0"/>
                <w:bCs w:val="0"/>
                <w:iCs/>
                <w:color w:val="000000"/>
                <w:kern w:val="32"/>
                <w:sz w:val="20"/>
                <w:szCs w:val="20"/>
              </w:rPr>
              <w:fldChar w:fldCharType="begin"/>
            </w:r>
            <w:r w:rsidRPr="001A4D90">
              <w:rPr>
                <w:rFonts w:ascii="Times New Roman Bold" w:hAnsi="Times New Roman Bold" w:cs="Arial"/>
                <w:b w:val="0"/>
                <w:bCs w:val="0"/>
                <w:iCs/>
                <w:color w:val="000000"/>
                <w:kern w:val="32"/>
                <w:sz w:val="20"/>
                <w:szCs w:val="20"/>
              </w:rPr>
              <w:instrText xml:space="preserve"> SEQ Table \* ARABIC </w:instrText>
            </w:r>
            <w:r w:rsidRPr="001A4D90">
              <w:rPr>
                <w:rFonts w:ascii="Times New Roman Bold" w:hAnsi="Times New Roman Bold" w:cs="Arial"/>
                <w:b w:val="0"/>
                <w:bCs w:val="0"/>
                <w:iCs/>
                <w:color w:val="000000"/>
                <w:kern w:val="32"/>
                <w:sz w:val="20"/>
                <w:szCs w:val="20"/>
              </w:rPr>
              <w:fldChar w:fldCharType="separate"/>
            </w:r>
            <w:r w:rsidR="00777CDF">
              <w:rPr>
                <w:rFonts w:ascii="Times New Roman Bold" w:hAnsi="Times New Roman Bold" w:cs="Arial"/>
                <w:b w:val="0"/>
                <w:bCs w:val="0"/>
                <w:iCs/>
                <w:noProof/>
                <w:color w:val="000000"/>
                <w:kern w:val="32"/>
                <w:sz w:val="20"/>
                <w:szCs w:val="20"/>
              </w:rPr>
              <w:t>2</w:t>
            </w:r>
            <w:r w:rsidRPr="001A4D90">
              <w:rPr>
                <w:rFonts w:ascii="Times New Roman Bold" w:hAnsi="Times New Roman Bold" w:cs="Arial"/>
                <w:b w:val="0"/>
                <w:bCs w:val="0"/>
                <w:iCs/>
                <w:color w:val="000000"/>
                <w:kern w:val="32"/>
                <w:sz w:val="20"/>
                <w:szCs w:val="20"/>
              </w:rPr>
              <w:fldChar w:fldCharType="end"/>
            </w:r>
            <w:bookmarkEnd w:id="38"/>
            <w:r w:rsidRPr="001A4D90">
              <w:rPr>
                <w:rFonts w:ascii="Times New Roman Bold" w:hAnsi="Times New Roman Bold" w:cs="Arial"/>
                <w:b w:val="0"/>
                <w:bCs w:val="0"/>
                <w:iCs/>
                <w:color w:val="000000"/>
                <w:kern w:val="32"/>
                <w:sz w:val="20"/>
                <w:szCs w:val="20"/>
              </w:rPr>
              <w:t xml:space="preserve">: </w:t>
            </w:r>
            <w:r w:rsidR="00480AEB" w:rsidRPr="00480AEB">
              <w:rPr>
                <w:rFonts w:ascii="Times New Roman Bold" w:hAnsi="Times New Roman Bold" w:cs="Arial"/>
                <w:b w:val="0"/>
                <w:bCs w:val="0"/>
                <w:iCs/>
                <w:color w:val="auto"/>
                <w:kern w:val="32"/>
                <w:sz w:val="20"/>
                <w:szCs w:val="20"/>
              </w:rPr>
              <w:t>Quality Target Product Profile</w:t>
            </w:r>
            <w:r w:rsidRPr="00480AEB">
              <w:rPr>
                <w:rFonts w:ascii="Times New Roman Bold" w:hAnsi="Times New Roman Bold" w:cs="Arial"/>
                <w:b w:val="0"/>
                <w:bCs w:val="0"/>
                <w:iCs/>
                <w:color w:val="auto"/>
                <w:kern w:val="32"/>
                <w:sz w:val="20"/>
                <w:szCs w:val="20"/>
              </w:rPr>
              <w:t xml:space="preserve"> for </w:t>
            </w:r>
            <w:proofErr w:type="spellStart"/>
            <w:r w:rsidR="00480AEB" w:rsidRPr="00480AEB">
              <w:rPr>
                <w:color w:val="auto"/>
                <w:sz w:val="20"/>
                <w:szCs w:val="20"/>
              </w:rPr>
              <w:t>Gelnique</w:t>
            </w:r>
            <w:proofErr w:type="spellEnd"/>
            <w:r w:rsidR="00480AEB" w:rsidRPr="00480AEB">
              <w:rPr>
                <w:color w:val="auto"/>
                <w:sz w:val="20"/>
                <w:szCs w:val="20"/>
              </w:rPr>
              <w:t>™ (Oxybutynin Chloride) Gel 10%</w:t>
            </w:r>
            <w:bookmarkEnd w:id="39"/>
            <w:bookmarkEnd w:id="40"/>
            <w:bookmarkEnd w:id="41"/>
          </w:p>
        </w:tc>
      </w:tr>
      <w:tr w:rsidR="004D1ECD" w:rsidRPr="001A4D90" w:rsidTr="00991546">
        <w:trPr>
          <w:cantSplit/>
          <w:trHeight w:val="288"/>
          <w:tblHeader/>
          <w:jc w:val="center"/>
        </w:trPr>
        <w:tc>
          <w:tcPr>
            <w:tcW w:w="1147" w:type="pct"/>
            <w:shd w:val="clear" w:color="auto" w:fill="auto"/>
            <w:vAlign w:val="center"/>
          </w:tcPr>
          <w:p w:rsidR="00BC42FB" w:rsidRPr="001A4D90" w:rsidRDefault="00BC42FB" w:rsidP="00FF797D">
            <w:pPr>
              <w:jc w:val="center"/>
              <w:rPr>
                <w:b/>
                <w:sz w:val="20"/>
              </w:rPr>
            </w:pPr>
            <w:r w:rsidRPr="001A4D90">
              <w:rPr>
                <w:b/>
                <w:sz w:val="20"/>
              </w:rPr>
              <w:t>Profile Component</w:t>
            </w:r>
          </w:p>
        </w:tc>
        <w:tc>
          <w:tcPr>
            <w:tcW w:w="1671" w:type="pct"/>
            <w:shd w:val="clear" w:color="auto" w:fill="auto"/>
            <w:vAlign w:val="center"/>
          </w:tcPr>
          <w:p w:rsidR="00BC42FB" w:rsidRPr="001A4D90" w:rsidRDefault="00BC42FB" w:rsidP="00FF797D">
            <w:pPr>
              <w:jc w:val="center"/>
              <w:rPr>
                <w:b/>
                <w:sz w:val="20"/>
              </w:rPr>
            </w:pPr>
            <w:r w:rsidRPr="001A4D90">
              <w:rPr>
                <w:b/>
                <w:sz w:val="20"/>
              </w:rPr>
              <w:t>Target</w:t>
            </w:r>
          </w:p>
        </w:tc>
        <w:tc>
          <w:tcPr>
            <w:tcW w:w="2182" w:type="pct"/>
            <w:shd w:val="clear" w:color="auto" w:fill="auto"/>
            <w:vAlign w:val="center"/>
          </w:tcPr>
          <w:p w:rsidR="00BC42FB" w:rsidRPr="001A4D90" w:rsidRDefault="00BC42FB" w:rsidP="00FF797D">
            <w:pPr>
              <w:jc w:val="center"/>
              <w:rPr>
                <w:b/>
                <w:sz w:val="20"/>
              </w:rPr>
            </w:pPr>
            <w:r w:rsidRPr="001A4D90">
              <w:rPr>
                <w:b/>
                <w:sz w:val="20"/>
              </w:rPr>
              <w:t>Justification</w:t>
            </w:r>
          </w:p>
        </w:tc>
      </w:tr>
      <w:tr w:rsidR="00DD49C3" w:rsidRPr="001A4D90" w:rsidTr="00991546">
        <w:trPr>
          <w:cantSplit/>
          <w:trHeight w:val="288"/>
          <w:jc w:val="center"/>
        </w:trPr>
        <w:tc>
          <w:tcPr>
            <w:tcW w:w="1147" w:type="pct"/>
            <w:shd w:val="clear" w:color="auto" w:fill="auto"/>
            <w:vAlign w:val="center"/>
          </w:tcPr>
          <w:p w:rsidR="00DD49C3" w:rsidRPr="001A4D90" w:rsidRDefault="00DD49C3" w:rsidP="00FF797D">
            <w:pPr>
              <w:jc w:val="center"/>
              <w:rPr>
                <w:sz w:val="20"/>
              </w:rPr>
            </w:pPr>
            <w:r w:rsidRPr="001A4D90">
              <w:rPr>
                <w:sz w:val="20"/>
              </w:rPr>
              <w:t>Dosage Form</w:t>
            </w:r>
          </w:p>
        </w:tc>
        <w:tc>
          <w:tcPr>
            <w:tcW w:w="1671" w:type="pct"/>
            <w:shd w:val="clear" w:color="auto" w:fill="auto"/>
            <w:vAlign w:val="center"/>
          </w:tcPr>
          <w:p w:rsidR="00DD49C3" w:rsidRPr="001A4D90" w:rsidRDefault="00DD49C3" w:rsidP="00FF797D">
            <w:pPr>
              <w:jc w:val="center"/>
              <w:rPr>
                <w:color w:val="000000"/>
                <w:sz w:val="20"/>
              </w:rPr>
            </w:pPr>
            <w:r w:rsidRPr="001A4D90">
              <w:rPr>
                <w:color w:val="000000"/>
                <w:sz w:val="20"/>
              </w:rPr>
              <w:t>Gel</w:t>
            </w:r>
          </w:p>
        </w:tc>
        <w:tc>
          <w:tcPr>
            <w:tcW w:w="2182" w:type="pct"/>
            <w:vMerge w:val="restart"/>
            <w:shd w:val="clear" w:color="auto" w:fill="auto"/>
            <w:vAlign w:val="center"/>
          </w:tcPr>
          <w:p w:rsidR="00DD49C3" w:rsidRPr="00DD49C3" w:rsidRDefault="00DD49C3" w:rsidP="00DD49C3">
            <w:pPr>
              <w:rPr>
                <w:color w:val="000000"/>
                <w:sz w:val="20"/>
              </w:rPr>
            </w:pPr>
            <w:r w:rsidRPr="00DD49C3">
              <w:rPr>
                <w:color w:val="000000"/>
                <w:sz w:val="20"/>
              </w:rPr>
              <w:t xml:space="preserve">The product rationale for dosage form, route of administration and dosage strength is provide in </w:t>
            </w:r>
            <w:proofErr w:type="spellStart"/>
            <w:r w:rsidRPr="00DD49C3">
              <w:rPr>
                <w:sz w:val="20"/>
              </w:rPr>
              <w:t>Gelnique</w:t>
            </w:r>
            <w:proofErr w:type="spellEnd"/>
            <w:r w:rsidRPr="00DD49C3">
              <w:rPr>
                <w:sz w:val="20"/>
              </w:rPr>
              <w:t xml:space="preserve">™ (Oxybutynin Chloride) Gel 10% </w:t>
            </w:r>
            <w:r>
              <w:rPr>
                <w:sz w:val="20"/>
              </w:rPr>
              <w:t>FDA submission documents</w:t>
            </w:r>
            <w:r w:rsidRPr="00DD49C3">
              <w:rPr>
                <w:sz w:val="20"/>
              </w:rPr>
              <w:t xml:space="preserve"> (NDA# 022204)</w:t>
            </w:r>
            <w:r w:rsidRPr="00DD49C3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.</w:t>
            </w:r>
          </w:p>
        </w:tc>
      </w:tr>
      <w:tr w:rsidR="00DD49C3" w:rsidRPr="001A4D90" w:rsidTr="00991546">
        <w:trPr>
          <w:cantSplit/>
          <w:trHeight w:val="288"/>
          <w:jc w:val="center"/>
        </w:trPr>
        <w:tc>
          <w:tcPr>
            <w:tcW w:w="1147" w:type="pct"/>
            <w:shd w:val="clear" w:color="auto" w:fill="auto"/>
            <w:vAlign w:val="center"/>
          </w:tcPr>
          <w:p w:rsidR="00DD49C3" w:rsidRPr="001A4D90" w:rsidRDefault="00DD49C3" w:rsidP="00FF797D">
            <w:pPr>
              <w:jc w:val="center"/>
              <w:rPr>
                <w:sz w:val="20"/>
              </w:rPr>
            </w:pPr>
            <w:r w:rsidRPr="001A4D90">
              <w:rPr>
                <w:sz w:val="20"/>
              </w:rPr>
              <w:t>Route of Administration</w:t>
            </w:r>
          </w:p>
        </w:tc>
        <w:tc>
          <w:tcPr>
            <w:tcW w:w="1671" w:type="pct"/>
            <w:shd w:val="clear" w:color="auto" w:fill="auto"/>
            <w:vAlign w:val="center"/>
          </w:tcPr>
          <w:p w:rsidR="00DD49C3" w:rsidRPr="001A4D90" w:rsidRDefault="00DD49C3" w:rsidP="00FF797D">
            <w:pPr>
              <w:jc w:val="center"/>
              <w:rPr>
                <w:color w:val="000000"/>
                <w:sz w:val="20"/>
              </w:rPr>
            </w:pPr>
            <w:r w:rsidRPr="001A4D90">
              <w:rPr>
                <w:color w:val="000000"/>
                <w:sz w:val="20"/>
              </w:rPr>
              <w:t>Topical</w:t>
            </w:r>
          </w:p>
        </w:tc>
        <w:tc>
          <w:tcPr>
            <w:tcW w:w="2182" w:type="pct"/>
            <w:vMerge/>
            <w:shd w:val="clear" w:color="auto" w:fill="auto"/>
            <w:vAlign w:val="center"/>
          </w:tcPr>
          <w:p w:rsidR="00DD49C3" w:rsidRPr="001A4D90" w:rsidRDefault="00DD49C3" w:rsidP="00FF797D">
            <w:pPr>
              <w:rPr>
                <w:color w:val="000000"/>
                <w:sz w:val="20"/>
              </w:rPr>
            </w:pPr>
          </w:p>
        </w:tc>
      </w:tr>
      <w:tr w:rsidR="00DD49C3" w:rsidRPr="001A4D90" w:rsidTr="00991546">
        <w:trPr>
          <w:cantSplit/>
          <w:trHeight w:val="288"/>
          <w:jc w:val="center"/>
        </w:trPr>
        <w:tc>
          <w:tcPr>
            <w:tcW w:w="1147" w:type="pct"/>
            <w:shd w:val="clear" w:color="auto" w:fill="auto"/>
            <w:vAlign w:val="center"/>
          </w:tcPr>
          <w:p w:rsidR="00DD49C3" w:rsidRPr="001A4D90" w:rsidRDefault="00DD49C3" w:rsidP="00FF797D">
            <w:pPr>
              <w:jc w:val="center"/>
              <w:rPr>
                <w:sz w:val="20"/>
              </w:rPr>
            </w:pPr>
            <w:r w:rsidRPr="001A4D90">
              <w:rPr>
                <w:sz w:val="20"/>
              </w:rPr>
              <w:t>Dosage Strength</w:t>
            </w:r>
          </w:p>
        </w:tc>
        <w:tc>
          <w:tcPr>
            <w:tcW w:w="1671" w:type="pct"/>
            <w:shd w:val="clear" w:color="auto" w:fill="auto"/>
            <w:vAlign w:val="center"/>
          </w:tcPr>
          <w:p w:rsidR="00DD49C3" w:rsidRPr="001A4D90" w:rsidRDefault="00DD49C3" w:rsidP="003F175E">
            <w:pPr>
              <w:pStyle w:val="ListParagraph"/>
              <w:ind w:left="360"/>
              <w:jc w:val="center"/>
              <w:rPr>
                <w:sz w:val="20"/>
              </w:rPr>
            </w:pPr>
            <w:r w:rsidRPr="001A4D90">
              <w:rPr>
                <w:sz w:val="20"/>
              </w:rPr>
              <w:t>10% ; 100 mg / g</w:t>
            </w:r>
          </w:p>
        </w:tc>
        <w:tc>
          <w:tcPr>
            <w:tcW w:w="2182" w:type="pct"/>
            <w:vMerge/>
            <w:shd w:val="clear" w:color="auto" w:fill="auto"/>
            <w:vAlign w:val="center"/>
          </w:tcPr>
          <w:p w:rsidR="00DD49C3" w:rsidRPr="001A4D90" w:rsidRDefault="00DD49C3" w:rsidP="00FF797D">
            <w:pPr>
              <w:rPr>
                <w:sz w:val="20"/>
              </w:rPr>
            </w:pPr>
          </w:p>
        </w:tc>
      </w:tr>
      <w:tr w:rsidR="00E13143" w:rsidRPr="001A4D90" w:rsidTr="00991546">
        <w:trPr>
          <w:cantSplit/>
          <w:trHeight w:val="288"/>
          <w:jc w:val="center"/>
        </w:trPr>
        <w:tc>
          <w:tcPr>
            <w:tcW w:w="1147" w:type="pct"/>
            <w:shd w:val="clear" w:color="auto" w:fill="auto"/>
            <w:vAlign w:val="center"/>
          </w:tcPr>
          <w:p w:rsidR="00E13143" w:rsidRPr="001A4D90" w:rsidRDefault="00E13143" w:rsidP="00FF797D">
            <w:pPr>
              <w:jc w:val="center"/>
              <w:rPr>
                <w:sz w:val="20"/>
              </w:rPr>
            </w:pPr>
            <w:r w:rsidRPr="001A4D90">
              <w:rPr>
                <w:sz w:val="20"/>
              </w:rPr>
              <w:t>Pharmacokinetics</w:t>
            </w:r>
          </w:p>
        </w:tc>
        <w:tc>
          <w:tcPr>
            <w:tcW w:w="1671" w:type="pct"/>
            <w:shd w:val="clear" w:color="auto" w:fill="auto"/>
            <w:vAlign w:val="center"/>
          </w:tcPr>
          <w:p w:rsidR="00E13143" w:rsidRPr="001A4D90" w:rsidRDefault="003F175E" w:rsidP="00AE3D3E">
            <w:pPr>
              <w:rPr>
                <w:sz w:val="20"/>
              </w:rPr>
            </w:pPr>
            <w:r w:rsidRPr="001A4D90">
              <w:rPr>
                <w:sz w:val="20"/>
                <w:shd w:val="clear" w:color="auto" w:fill="FFFFFF"/>
              </w:rPr>
              <w:t xml:space="preserve">Oxybutynin is transported across intact skin and into the systemic circulation by passive diffusion across the stratum </w:t>
            </w:r>
            <w:proofErr w:type="spellStart"/>
            <w:r w:rsidRPr="001A4D90">
              <w:rPr>
                <w:sz w:val="20"/>
                <w:shd w:val="clear" w:color="auto" w:fill="FFFFFF"/>
              </w:rPr>
              <w:t>corneum</w:t>
            </w:r>
            <w:proofErr w:type="spellEnd"/>
            <w:r w:rsidRPr="001A4D90">
              <w:rPr>
                <w:sz w:val="20"/>
                <w:shd w:val="clear" w:color="auto" w:fill="FFFFFF"/>
              </w:rPr>
              <w:t xml:space="preserve">. Steady-state concentrations are achieved within 7 days of continuous dosing. Absorption of oxybutynin is similar when </w:t>
            </w:r>
            <w:proofErr w:type="spellStart"/>
            <w:r w:rsidRPr="001A4D90">
              <w:rPr>
                <w:sz w:val="20"/>
                <w:shd w:val="clear" w:color="auto" w:fill="FFFFFF"/>
              </w:rPr>
              <w:t>Gelnique</w:t>
            </w:r>
            <w:proofErr w:type="spellEnd"/>
            <w:r w:rsidR="00632870">
              <w:rPr>
                <w:sz w:val="20"/>
                <w:shd w:val="clear" w:color="auto" w:fill="FFFFFF"/>
              </w:rPr>
              <w:t xml:space="preserve"> 10%</w:t>
            </w:r>
            <w:r w:rsidRPr="001A4D90">
              <w:rPr>
                <w:sz w:val="20"/>
                <w:shd w:val="clear" w:color="auto" w:fill="FFFFFF"/>
              </w:rPr>
              <w:t xml:space="preserve"> is applied to the abdomen, upper arm/shoulders or thighs</w:t>
            </w:r>
          </w:p>
        </w:tc>
        <w:tc>
          <w:tcPr>
            <w:tcW w:w="2182" w:type="pct"/>
            <w:shd w:val="clear" w:color="auto" w:fill="auto"/>
            <w:vAlign w:val="center"/>
          </w:tcPr>
          <w:p w:rsidR="00E13143" w:rsidRPr="001A4D90" w:rsidRDefault="00FC6AF3" w:rsidP="0072787F">
            <w:pPr>
              <w:rPr>
                <w:sz w:val="20"/>
              </w:rPr>
            </w:pPr>
            <w:r>
              <w:rPr>
                <w:sz w:val="20"/>
              </w:rPr>
              <w:t>Topical administration significantly reduces the formation of the active metabolite, N-</w:t>
            </w:r>
            <w:proofErr w:type="spellStart"/>
            <w:r>
              <w:rPr>
                <w:sz w:val="20"/>
              </w:rPr>
              <w:t>desethyl</w:t>
            </w:r>
            <w:proofErr w:type="spellEnd"/>
            <w:r>
              <w:rPr>
                <w:sz w:val="20"/>
              </w:rPr>
              <w:t xml:space="preserve"> Oxybutynin, by avoiding the pre-systemic metabolism. Therefore topical administration </w:t>
            </w:r>
            <w:r w:rsidR="0072787F">
              <w:rPr>
                <w:sz w:val="20"/>
              </w:rPr>
              <w:t xml:space="preserve">potentially provides better pharmacokinetics than oral administration. </w:t>
            </w:r>
          </w:p>
        </w:tc>
      </w:tr>
      <w:tr w:rsidR="00442CB3" w:rsidRPr="001A4D90" w:rsidTr="00991546">
        <w:trPr>
          <w:cantSplit/>
          <w:trHeight w:val="288"/>
          <w:jc w:val="center"/>
        </w:trPr>
        <w:tc>
          <w:tcPr>
            <w:tcW w:w="1147" w:type="pct"/>
            <w:shd w:val="clear" w:color="auto" w:fill="auto"/>
            <w:vAlign w:val="center"/>
          </w:tcPr>
          <w:p w:rsidR="00442CB3" w:rsidRPr="001A4D90" w:rsidRDefault="00442CB3" w:rsidP="00FF797D">
            <w:pPr>
              <w:jc w:val="center"/>
              <w:rPr>
                <w:sz w:val="20"/>
              </w:rPr>
            </w:pPr>
            <w:r w:rsidRPr="001A4D90">
              <w:rPr>
                <w:sz w:val="20"/>
              </w:rPr>
              <w:lastRenderedPageBreak/>
              <w:t>Stability</w:t>
            </w:r>
          </w:p>
        </w:tc>
        <w:tc>
          <w:tcPr>
            <w:tcW w:w="1671" w:type="pct"/>
            <w:shd w:val="clear" w:color="auto" w:fill="auto"/>
            <w:vAlign w:val="center"/>
          </w:tcPr>
          <w:p w:rsidR="001A4D90" w:rsidRPr="001A4D90" w:rsidRDefault="00442CB3" w:rsidP="001A4D90">
            <w:pPr>
              <w:pStyle w:val="Normal2"/>
              <w:rPr>
                <w:rFonts w:ascii="Times New Roman" w:hAnsi="Times New Roman"/>
                <w:sz w:val="20"/>
                <w:lang w:val="en-US"/>
              </w:rPr>
            </w:pPr>
            <w:r w:rsidRPr="001A4D90">
              <w:rPr>
                <w:rFonts w:ascii="Times New Roman" w:hAnsi="Times New Roman"/>
                <w:sz w:val="20"/>
                <w:lang w:val="en-US"/>
              </w:rPr>
              <w:t xml:space="preserve">Expiration date is </w:t>
            </w:r>
            <w:r w:rsidR="00AE3D3E" w:rsidRPr="001A4D90">
              <w:rPr>
                <w:rFonts w:ascii="Times New Roman" w:hAnsi="Times New Roman"/>
                <w:sz w:val="20"/>
                <w:lang w:val="en-US"/>
              </w:rPr>
              <w:t>24 months</w:t>
            </w:r>
            <w:r w:rsidR="001A4D90" w:rsidRPr="001A4D90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1A4D90">
              <w:rPr>
                <w:rFonts w:ascii="Times New Roman" w:hAnsi="Times New Roman"/>
                <w:sz w:val="20"/>
                <w:lang w:val="en-US"/>
              </w:rPr>
              <w:t xml:space="preserve">from </w:t>
            </w:r>
            <w:r w:rsidR="00AE3D3E" w:rsidRPr="001A4D90">
              <w:rPr>
                <w:rFonts w:ascii="Times New Roman" w:hAnsi="Times New Roman"/>
                <w:sz w:val="20"/>
                <w:lang w:val="en-US"/>
              </w:rPr>
              <w:t xml:space="preserve">the date of manufacture of </w:t>
            </w:r>
            <w:r w:rsidR="001A4D90" w:rsidRPr="001A4D90">
              <w:rPr>
                <w:rFonts w:ascii="Times New Roman" w:hAnsi="Times New Roman"/>
                <w:sz w:val="20"/>
                <w:lang w:val="en-US"/>
              </w:rPr>
              <w:t>gel mix.</w:t>
            </w:r>
          </w:p>
          <w:p w:rsidR="00442CB3" w:rsidRPr="001A4D90" w:rsidRDefault="00442CB3" w:rsidP="001A4D90">
            <w:pPr>
              <w:pStyle w:val="Normal2"/>
              <w:rPr>
                <w:sz w:val="20"/>
              </w:rPr>
            </w:pPr>
            <w:r w:rsidRPr="001A4D90">
              <w:rPr>
                <w:rFonts w:ascii="Times New Roman" w:hAnsi="Times New Roman"/>
                <w:sz w:val="20"/>
                <w:lang w:val="en-US"/>
              </w:rPr>
              <w:t>Stability studies are conducted under Controlled Room Temperature (CRT)</w:t>
            </w:r>
            <w:r w:rsidR="00E12D9E" w:rsidRPr="001A4D90">
              <w:rPr>
                <w:rFonts w:ascii="Times New Roman" w:hAnsi="Times New Roman"/>
                <w:sz w:val="20"/>
                <w:lang w:val="en-US"/>
              </w:rPr>
              <w:t xml:space="preserve"> conditions</w:t>
            </w:r>
            <w:r w:rsidRPr="001A4D90">
              <w:rPr>
                <w:rStyle w:val="CommentReference"/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82" w:type="pct"/>
            <w:shd w:val="clear" w:color="auto" w:fill="auto"/>
            <w:vAlign w:val="center"/>
          </w:tcPr>
          <w:p w:rsidR="00442CB3" w:rsidRPr="001A4D90" w:rsidRDefault="005E7657" w:rsidP="0072787F">
            <w:pPr>
              <w:rPr>
                <w:sz w:val="20"/>
              </w:rPr>
            </w:pPr>
            <w:r>
              <w:rPr>
                <w:sz w:val="20"/>
              </w:rPr>
              <w:t>The expiration time is based on 24 month stability conducted on the drug product during development</w:t>
            </w:r>
            <w:r w:rsidR="0072787F">
              <w:rPr>
                <w:sz w:val="20"/>
              </w:rPr>
              <w:t xml:space="preserve"> of </w:t>
            </w:r>
            <w:proofErr w:type="spellStart"/>
            <w:r w:rsidR="0072787F">
              <w:rPr>
                <w:sz w:val="20"/>
              </w:rPr>
              <w:t>G</w:t>
            </w:r>
            <w:r>
              <w:rPr>
                <w:sz w:val="20"/>
              </w:rPr>
              <w:t>elnique</w:t>
            </w:r>
            <w:proofErr w:type="spellEnd"/>
            <w:r>
              <w:rPr>
                <w:sz w:val="20"/>
              </w:rPr>
              <w:t xml:space="preserve"> 10%. </w:t>
            </w:r>
            <w:r w:rsidR="0072787F">
              <w:rPr>
                <w:sz w:val="20"/>
              </w:rPr>
              <w:t>24 month</w:t>
            </w:r>
            <w:r>
              <w:rPr>
                <w:sz w:val="20"/>
              </w:rPr>
              <w:t xml:space="preserve"> Stability data is </w:t>
            </w:r>
            <w:r w:rsidR="0072787F">
              <w:rPr>
                <w:sz w:val="20"/>
              </w:rPr>
              <w:t>available</w:t>
            </w:r>
            <w:r>
              <w:rPr>
                <w:sz w:val="20"/>
              </w:rPr>
              <w:t xml:space="preserve"> in FDA submission document (NDA# 022204).</w:t>
            </w:r>
          </w:p>
        </w:tc>
      </w:tr>
      <w:tr w:rsidR="003F175E" w:rsidRPr="001A4D90" w:rsidTr="00991546">
        <w:trPr>
          <w:cantSplit/>
          <w:trHeight w:val="288"/>
          <w:jc w:val="center"/>
        </w:trPr>
        <w:tc>
          <w:tcPr>
            <w:tcW w:w="1147" w:type="pct"/>
            <w:shd w:val="clear" w:color="auto" w:fill="auto"/>
            <w:vAlign w:val="center"/>
          </w:tcPr>
          <w:p w:rsidR="003F175E" w:rsidRPr="001A4D90" w:rsidRDefault="003F175E" w:rsidP="00FF797D">
            <w:pPr>
              <w:jc w:val="center"/>
              <w:rPr>
                <w:sz w:val="20"/>
              </w:rPr>
            </w:pPr>
            <w:r w:rsidRPr="001A4D90">
              <w:rPr>
                <w:sz w:val="20"/>
              </w:rPr>
              <w:t>Drug Product Quality Attributes</w:t>
            </w:r>
          </w:p>
        </w:tc>
        <w:tc>
          <w:tcPr>
            <w:tcW w:w="1671" w:type="pct"/>
            <w:shd w:val="clear" w:color="auto" w:fill="auto"/>
            <w:vAlign w:val="center"/>
          </w:tcPr>
          <w:p w:rsidR="003F175E" w:rsidRDefault="0070314B" w:rsidP="0070314B">
            <w:pPr>
              <w:rPr>
                <w:b/>
                <w:sz w:val="20"/>
                <w:u w:val="single"/>
              </w:rPr>
            </w:pPr>
            <w:r w:rsidRPr="0070314B">
              <w:rPr>
                <w:b/>
                <w:sz w:val="20"/>
                <w:u w:val="single"/>
              </w:rPr>
              <w:t>Physicochemical Attributes:</w:t>
            </w:r>
          </w:p>
          <w:p w:rsidR="0070314B" w:rsidRDefault="0070314B" w:rsidP="0070314B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Appearance</w:t>
            </w:r>
          </w:p>
          <w:p w:rsidR="0070314B" w:rsidRDefault="00991546" w:rsidP="0070314B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Identity</w:t>
            </w:r>
          </w:p>
          <w:p w:rsidR="0070314B" w:rsidRDefault="0070314B" w:rsidP="0070314B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Assay</w:t>
            </w:r>
          </w:p>
          <w:p w:rsidR="0070314B" w:rsidRDefault="0070314B" w:rsidP="0070314B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Ethanol</w:t>
            </w:r>
          </w:p>
          <w:p w:rsidR="0070314B" w:rsidRDefault="0070314B" w:rsidP="0070314B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Content Uniformity</w:t>
            </w:r>
          </w:p>
          <w:p w:rsidR="0070314B" w:rsidRDefault="0070314B" w:rsidP="0070314B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Minimum Fill</w:t>
            </w:r>
          </w:p>
          <w:p w:rsidR="0070314B" w:rsidRDefault="0070314B" w:rsidP="0070314B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Impurities and Degradation Products</w:t>
            </w:r>
          </w:p>
          <w:p w:rsidR="0070314B" w:rsidRDefault="0070314B" w:rsidP="0070314B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Viscosity</w:t>
            </w:r>
          </w:p>
          <w:p w:rsidR="0070314B" w:rsidRDefault="0070314B" w:rsidP="0070314B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pH</w:t>
            </w:r>
          </w:p>
          <w:p w:rsidR="0070314B" w:rsidRDefault="0070314B" w:rsidP="0070314B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Drug Release</w:t>
            </w:r>
          </w:p>
          <w:p w:rsidR="0070314B" w:rsidRPr="00631828" w:rsidRDefault="0070314B" w:rsidP="0070314B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 w:rsidRPr="00631828">
              <w:rPr>
                <w:sz w:val="20"/>
              </w:rPr>
              <w:t>Weight Loss</w:t>
            </w:r>
          </w:p>
          <w:p w:rsidR="0070314B" w:rsidRPr="0070314B" w:rsidRDefault="0070314B" w:rsidP="0070314B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Microbial Limits</w:t>
            </w:r>
          </w:p>
        </w:tc>
        <w:tc>
          <w:tcPr>
            <w:tcW w:w="2182" w:type="pct"/>
            <w:shd w:val="clear" w:color="auto" w:fill="auto"/>
            <w:vAlign w:val="center"/>
          </w:tcPr>
          <w:p w:rsidR="003F175E" w:rsidRPr="001A4D90" w:rsidRDefault="003F175E" w:rsidP="00FF797D">
            <w:pPr>
              <w:rPr>
                <w:sz w:val="20"/>
              </w:rPr>
            </w:pPr>
            <w:r w:rsidRPr="001A4D90">
              <w:rPr>
                <w:sz w:val="20"/>
              </w:rPr>
              <w:t>Pharmaceutical requirement:</w:t>
            </w:r>
          </w:p>
          <w:p w:rsidR="003F175E" w:rsidRPr="001A4D90" w:rsidRDefault="003F175E" w:rsidP="00FF797D">
            <w:pPr>
              <w:rPr>
                <w:sz w:val="20"/>
              </w:rPr>
            </w:pPr>
            <w:r w:rsidRPr="001A4D90">
              <w:rPr>
                <w:sz w:val="20"/>
              </w:rPr>
              <w:t xml:space="preserve">Meeting the same </w:t>
            </w:r>
            <w:proofErr w:type="spellStart"/>
            <w:r w:rsidRPr="001A4D90">
              <w:rPr>
                <w:sz w:val="20"/>
              </w:rPr>
              <w:t>compendial</w:t>
            </w:r>
            <w:proofErr w:type="spellEnd"/>
            <w:r w:rsidRPr="001A4D90">
              <w:rPr>
                <w:sz w:val="20"/>
              </w:rPr>
              <w:t xml:space="preserve"> or other applicable (quality) standards (i.e., identity, assay, purity, and quality)</w:t>
            </w:r>
          </w:p>
        </w:tc>
      </w:tr>
      <w:tr w:rsidR="00442CB3" w:rsidRPr="001A4D90" w:rsidTr="00991546">
        <w:trPr>
          <w:cantSplit/>
          <w:trHeight w:val="288"/>
          <w:jc w:val="center"/>
        </w:trPr>
        <w:tc>
          <w:tcPr>
            <w:tcW w:w="1147" w:type="pct"/>
            <w:shd w:val="clear" w:color="auto" w:fill="auto"/>
            <w:vAlign w:val="center"/>
          </w:tcPr>
          <w:p w:rsidR="00442CB3" w:rsidRPr="001A4D90" w:rsidRDefault="00442CB3" w:rsidP="00FF797D">
            <w:pPr>
              <w:jc w:val="center"/>
              <w:rPr>
                <w:sz w:val="20"/>
              </w:rPr>
            </w:pPr>
            <w:r w:rsidRPr="001A4D90">
              <w:rPr>
                <w:sz w:val="20"/>
              </w:rPr>
              <w:t>Container Closure System</w:t>
            </w:r>
          </w:p>
        </w:tc>
        <w:tc>
          <w:tcPr>
            <w:tcW w:w="1671" w:type="pct"/>
            <w:shd w:val="clear" w:color="auto" w:fill="auto"/>
            <w:vAlign w:val="center"/>
          </w:tcPr>
          <w:p w:rsidR="00442CB3" w:rsidRPr="001A4D90" w:rsidRDefault="0072787F" w:rsidP="00480AEB">
            <w:pPr>
              <w:pStyle w:val="Normal2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The finished drug product is packaged in a 1 </w:t>
            </w:r>
            <w:r w:rsidR="00480AEB">
              <w:rPr>
                <w:rFonts w:ascii="Times New Roman" w:hAnsi="Times New Roman"/>
                <w:sz w:val="20"/>
                <w:lang w:val="en-US"/>
              </w:rPr>
              <w:t>g (1.14mL)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Sachet with tear notches. 30 Sachet units are packaged in one carton. </w:t>
            </w:r>
          </w:p>
        </w:tc>
        <w:tc>
          <w:tcPr>
            <w:tcW w:w="2182" w:type="pct"/>
            <w:shd w:val="clear" w:color="auto" w:fill="auto"/>
            <w:vAlign w:val="center"/>
          </w:tcPr>
          <w:p w:rsidR="00FF797D" w:rsidRPr="001A4D90" w:rsidRDefault="0072787F" w:rsidP="005C29CF">
            <w:pPr>
              <w:rPr>
                <w:sz w:val="20"/>
              </w:rPr>
            </w:pPr>
            <w:r w:rsidRPr="001A4D90">
              <w:rPr>
                <w:sz w:val="20"/>
              </w:rPr>
              <w:t>Suitable container closure system to achieve the target shelf-life and ensure system integrity during shipping and handling</w:t>
            </w:r>
            <w:r>
              <w:rPr>
                <w:sz w:val="20"/>
              </w:rPr>
              <w:t>.</w:t>
            </w:r>
          </w:p>
        </w:tc>
      </w:tr>
      <w:tr w:rsidR="00442CB3" w:rsidRPr="001A4D90" w:rsidTr="00991546">
        <w:trPr>
          <w:cantSplit/>
          <w:trHeight w:val="288"/>
          <w:jc w:val="center"/>
        </w:trPr>
        <w:tc>
          <w:tcPr>
            <w:tcW w:w="1147" w:type="pct"/>
            <w:shd w:val="clear" w:color="auto" w:fill="auto"/>
            <w:vAlign w:val="center"/>
          </w:tcPr>
          <w:p w:rsidR="00442CB3" w:rsidRPr="001A4D90" w:rsidRDefault="00442CB3" w:rsidP="00FF797D">
            <w:pPr>
              <w:pStyle w:val="Normal2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A4D90">
              <w:rPr>
                <w:rFonts w:ascii="Times New Roman" w:hAnsi="Times New Roman"/>
                <w:sz w:val="20"/>
                <w:lang w:val="en-US"/>
              </w:rPr>
              <w:t>Administration/</w:t>
            </w:r>
          </w:p>
          <w:p w:rsidR="00442CB3" w:rsidRPr="001A4D90" w:rsidRDefault="00442CB3" w:rsidP="00FF797D">
            <w:pPr>
              <w:jc w:val="center"/>
              <w:rPr>
                <w:sz w:val="20"/>
              </w:rPr>
            </w:pPr>
            <w:r w:rsidRPr="001A4D90">
              <w:rPr>
                <w:sz w:val="20"/>
              </w:rPr>
              <w:t>Concurrence to labeling</w:t>
            </w:r>
          </w:p>
        </w:tc>
        <w:tc>
          <w:tcPr>
            <w:tcW w:w="1671" w:type="pct"/>
            <w:shd w:val="clear" w:color="auto" w:fill="auto"/>
            <w:vAlign w:val="center"/>
          </w:tcPr>
          <w:p w:rsidR="00442CB3" w:rsidRPr="005C29CF" w:rsidRDefault="005C29CF" w:rsidP="00335A30">
            <w:pPr>
              <w:rPr>
                <w:sz w:val="20"/>
              </w:rPr>
            </w:pPr>
            <w:proofErr w:type="spellStart"/>
            <w:r w:rsidRPr="005C29CF">
              <w:rPr>
                <w:sz w:val="20"/>
                <w:shd w:val="clear" w:color="auto" w:fill="FFFFFF"/>
              </w:rPr>
              <w:t>Gelnique</w:t>
            </w:r>
            <w:proofErr w:type="spellEnd"/>
            <w:r>
              <w:rPr>
                <w:sz w:val="20"/>
                <w:shd w:val="clear" w:color="auto" w:fill="FFFFFF"/>
              </w:rPr>
              <w:t xml:space="preserve"> 10%</w:t>
            </w:r>
            <w:r w:rsidRPr="005C29CF">
              <w:rPr>
                <w:sz w:val="20"/>
                <w:shd w:val="clear" w:color="auto" w:fill="FFFFFF"/>
              </w:rPr>
              <w:t xml:space="preserve"> is a muscarinic antagonist indicated for the treatment of overactive bladder with symptoms of urge urinary incontinence, urgency and frequency</w:t>
            </w:r>
          </w:p>
        </w:tc>
        <w:tc>
          <w:tcPr>
            <w:tcW w:w="2182" w:type="pct"/>
            <w:shd w:val="clear" w:color="auto" w:fill="auto"/>
            <w:vAlign w:val="center"/>
          </w:tcPr>
          <w:p w:rsidR="00442CB3" w:rsidRPr="001A4D90" w:rsidRDefault="00442CB3" w:rsidP="00FF797D">
            <w:pPr>
              <w:rPr>
                <w:sz w:val="20"/>
              </w:rPr>
            </w:pPr>
            <w:r w:rsidRPr="001A4D90">
              <w:rPr>
                <w:sz w:val="20"/>
              </w:rPr>
              <w:t>Safety and efficacy requirements.</w:t>
            </w:r>
          </w:p>
        </w:tc>
      </w:tr>
    </w:tbl>
    <w:p w:rsidR="000C790B" w:rsidRDefault="000C790B" w:rsidP="000C790B">
      <w:bookmarkStart w:id="42" w:name="_Toc404687288"/>
      <w:bookmarkStart w:id="43" w:name="_Toc404689980"/>
      <w:bookmarkStart w:id="44" w:name="_Toc404689991"/>
      <w:bookmarkStart w:id="45" w:name="_Toc404697094"/>
      <w:bookmarkStart w:id="46" w:name="_Toc404697139"/>
      <w:bookmarkStart w:id="47" w:name="_Toc404697356"/>
      <w:bookmarkStart w:id="48" w:name="_Toc404697861"/>
      <w:bookmarkStart w:id="49" w:name="_Toc404698336"/>
      <w:bookmarkStart w:id="50" w:name="_Toc404698620"/>
      <w:bookmarkStart w:id="51" w:name="_Toc404698923"/>
      <w:bookmarkStart w:id="52" w:name="_Toc404699085"/>
      <w:bookmarkStart w:id="53" w:name="_Toc405303401"/>
      <w:bookmarkStart w:id="54" w:name="_Toc417999281"/>
      <w:bookmarkStart w:id="55" w:name="_Toc417999409"/>
      <w:bookmarkStart w:id="56" w:name="_Toc412031434"/>
      <w:bookmarkStart w:id="57" w:name="_Toc412118243"/>
    </w:p>
    <w:p w:rsidR="00BC42FB" w:rsidRPr="002A6DEC" w:rsidRDefault="003E021F" w:rsidP="002A6DEC">
      <w:pPr>
        <w:pStyle w:val="Heading1"/>
        <w:ind w:left="0"/>
      </w:pPr>
      <w:bookmarkStart w:id="58" w:name="_Toc467163204"/>
      <w:r w:rsidRPr="00B112F2">
        <w:t>Critical Quality Attributes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780E23">
        <w:t xml:space="preserve"> </w:t>
      </w:r>
      <w:r w:rsidR="00E47FC6" w:rsidRPr="00295EBC">
        <w:t>Designation</w:t>
      </w:r>
      <w:bookmarkEnd w:id="58"/>
    </w:p>
    <w:bookmarkEnd w:id="56"/>
    <w:bookmarkEnd w:id="57"/>
    <w:p w:rsidR="00C76D9D" w:rsidRDefault="003F56D8" w:rsidP="003E021F">
      <w:pPr>
        <w:ind w:left="5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drug product quality attributes are identified from the profile components listed in </w:t>
      </w:r>
      <w:r w:rsidR="00EE398F" w:rsidRPr="00EE398F">
        <w:rPr>
          <w:b/>
          <w:sz w:val="24"/>
          <w:szCs w:val="24"/>
        </w:rPr>
        <w:fldChar w:fldCharType="begin"/>
      </w:r>
      <w:r w:rsidR="00EE398F" w:rsidRPr="00EE398F">
        <w:rPr>
          <w:b/>
          <w:sz w:val="24"/>
          <w:szCs w:val="24"/>
        </w:rPr>
        <w:instrText xml:space="preserve"> REF _Ref470248386 \h  \* MERGEFORMAT </w:instrText>
      </w:r>
      <w:r w:rsidR="00EE398F" w:rsidRPr="00EE398F">
        <w:rPr>
          <w:b/>
          <w:sz w:val="24"/>
          <w:szCs w:val="24"/>
        </w:rPr>
      </w:r>
      <w:r w:rsidR="00EE398F" w:rsidRPr="00EE398F">
        <w:rPr>
          <w:b/>
          <w:sz w:val="24"/>
          <w:szCs w:val="24"/>
        </w:rPr>
        <w:fldChar w:fldCharType="separate"/>
      </w:r>
      <w:r w:rsidR="00777CDF" w:rsidRPr="00777CDF">
        <w:rPr>
          <w:b/>
          <w:iCs/>
          <w:color w:val="000000"/>
          <w:kern w:val="32"/>
          <w:sz w:val="24"/>
          <w:szCs w:val="24"/>
        </w:rPr>
        <w:t xml:space="preserve">Table </w:t>
      </w:r>
      <w:r w:rsidR="00777CDF" w:rsidRPr="00777CDF">
        <w:rPr>
          <w:b/>
          <w:iCs/>
          <w:noProof/>
          <w:color w:val="000000"/>
          <w:kern w:val="32"/>
          <w:sz w:val="24"/>
          <w:szCs w:val="24"/>
        </w:rPr>
        <w:t>2</w:t>
      </w:r>
      <w:r w:rsidR="00EE398F" w:rsidRPr="00EE398F">
        <w:rPr>
          <w:b/>
          <w:sz w:val="24"/>
          <w:szCs w:val="24"/>
        </w:rPr>
        <w:fldChar w:fldCharType="end"/>
      </w:r>
      <w:r w:rsidR="00EE398F">
        <w:rPr>
          <w:sz w:val="24"/>
          <w:szCs w:val="24"/>
        </w:rPr>
        <w:t xml:space="preserve">. </w:t>
      </w:r>
      <w:r w:rsidR="00C76D9D" w:rsidRPr="00C76D9D">
        <w:rPr>
          <w:sz w:val="24"/>
          <w:szCs w:val="24"/>
        </w:rPr>
        <w:t>The quality attributes are classified as critical or non-critical based on the following characteristics:</w:t>
      </w:r>
    </w:p>
    <w:p w:rsidR="003E021F" w:rsidRPr="00C76D9D" w:rsidRDefault="003E021F" w:rsidP="003E021F">
      <w:pPr>
        <w:ind w:left="540"/>
        <w:contextualSpacing/>
        <w:rPr>
          <w:sz w:val="24"/>
          <w:szCs w:val="24"/>
        </w:rPr>
      </w:pPr>
    </w:p>
    <w:p w:rsidR="00C76D9D" w:rsidRPr="00C76D9D" w:rsidRDefault="00C76D9D" w:rsidP="000F241E">
      <w:pPr>
        <w:spacing w:line="360" w:lineRule="auto"/>
        <w:ind w:firstLine="360"/>
        <w:contextualSpacing/>
        <w:rPr>
          <w:b/>
          <w:sz w:val="24"/>
          <w:szCs w:val="24"/>
        </w:rPr>
      </w:pPr>
      <w:r w:rsidRPr="00C76D9D">
        <w:rPr>
          <w:b/>
          <w:sz w:val="24"/>
          <w:szCs w:val="24"/>
        </w:rPr>
        <w:t>Critical Quality Attribute Characteristics:</w:t>
      </w:r>
    </w:p>
    <w:p w:rsidR="00A148C2" w:rsidRDefault="00A148C2" w:rsidP="00661081">
      <w:pPr>
        <w:numPr>
          <w:ilvl w:val="0"/>
          <w:numId w:val="13"/>
        </w:numPr>
        <w:contextualSpacing/>
        <w:rPr>
          <w:sz w:val="24"/>
          <w:szCs w:val="24"/>
        </w:rPr>
      </w:pPr>
      <w:r w:rsidRPr="00A148C2">
        <w:rPr>
          <w:sz w:val="24"/>
          <w:szCs w:val="24"/>
        </w:rPr>
        <w:t xml:space="preserve">A physical, chemical, or microbiological characteristic of a product that should be within an appropriate limit, range or distribution to ensure the desired product quality </w:t>
      </w:r>
    </w:p>
    <w:p w:rsidR="00A148C2" w:rsidRDefault="00A148C2" w:rsidP="00661081">
      <w:pPr>
        <w:numPr>
          <w:ilvl w:val="0"/>
          <w:numId w:val="13"/>
        </w:numPr>
        <w:contextualSpacing/>
        <w:rPr>
          <w:sz w:val="24"/>
          <w:szCs w:val="24"/>
        </w:rPr>
      </w:pPr>
      <w:r w:rsidRPr="00A148C2">
        <w:rPr>
          <w:sz w:val="24"/>
          <w:szCs w:val="24"/>
        </w:rPr>
        <w:t>CQAs should only include product attributes that have the potential to be altered by changes to process parameters or formulation variables</w:t>
      </w:r>
    </w:p>
    <w:p w:rsidR="000F241E" w:rsidRDefault="00A148C2" w:rsidP="00661081">
      <w:pPr>
        <w:numPr>
          <w:ilvl w:val="0"/>
          <w:numId w:val="13"/>
        </w:numPr>
        <w:contextualSpacing/>
        <w:rPr>
          <w:sz w:val="24"/>
          <w:szCs w:val="24"/>
        </w:rPr>
      </w:pPr>
      <w:r w:rsidRPr="000B529B">
        <w:rPr>
          <w:sz w:val="24"/>
          <w:szCs w:val="24"/>
        </w:rPr>
        <w:t>Attribute is d</w:t>
      </w:r>
      <w:r w:rsidR="00C76D9D" w:rsidRPr="000B529B">
        <w:rPr>
          <w:sz w:val="24"/>
          <w:szCs w:val="24"/>
        </w:rPr>
        <w:t xml:space="preserve">irectly linked to </w:t>
      </w:r>
      <w:r w:rsidR="00C87FF3" w:rsidRPr="000B529B">
        <w:rPr>
          <w:sz w:val="24"/>
          <w:szCs w:val="24"/>
        </w:rPr>
        <w:t>quality</w:t>
      </w:r>
      <w:r w:rsidRPr="000B529B">
        <w:rPr>
          <w:sz w:val="24"/>
          <w:szCs w:val="24"/>
        </w:rPr>
        <w:t xml:space="preserve"> of the product</w:t>
      </w:r>
    </w:p>
    <w:p w:rsidR="00661081" w:rsidRDefault="00661081" w:rsidP="00661081">
      <w:pPr>
        <w:ind w:left="1267"/>
        <w:contextualSpacing/>
        <w:rPr>
          <w:sz w:val="24"/>
          <w:szCs w:val="24"/>
        </w:rPr>
      </w:pPr>
    </w:p>
    <w:p w:rsidR="00661081" w:rsidRDefault="00661081" w:rsidP="00661081">
      <w:pPr>
        <w:ind w:left="1267"/>
        <w:contextualSpacing/>
        <w:rPr>
          <w:sz w:val="24"/>
          <w:szCs w:val="24"/>
        </w:rPr>
      </w:pP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29" w:type="dxa"/>
          <w:bottom w:w="43" w:type="dxa"/>
          <w:right w:w="29" w:type="dxa"/>
        </w:tblCellMar>
        <w:tblLook w:val="04A0" w:firstRow="1" w:lastRow="0" w:firstColumn="1" w:lastColumn="0" w:noHBand="0" w:noVBand="1"/>
      </w:tblPr>
      <w:tblGrid>
        <w:gridCol w:w="1459"/>
        <w:gridCol w:w="8"/>
        <w:gridCol w:w="3331"/>
        <w:gridCol w:w="870"/>
        <w:gridCol w:w="4494"/>
      </w:tblGrid>
      <w:tr w:rsidR="000A7443" w:rsidRPr="004966E3" w:rsidTr="00661081">
        <w:trPr>
          <w:trHeight w:val="288"/>
          <w:tblHeader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241E" w:rsidRPr="004966E3" w:rsidRDefault="000A7443" w:rsidP="00661081">
            <w:pPr>
              <w:jc w:val="center"/>
              <w:rPr>
                <w:b/>
                <w:sz w:val="20"/>
              </w:rPr>
            </w:pPr>
            <w:bookmarkStart w:id="59" w:name="_Ref470248409"/>
            <w:bookmarkStart w:id="60" w:name="_Toc470248497"/>
            <w:r w:rsidRPr="004966E3">
              <w:rPr>
                <w:b/>
                <w:sz w:val="20"/>
              </w:rPr>
              <w:lastRenderedPageBreak/>
              <w:t xml:space="preserve">Table </w:t>
            </w:r>
            <w:r w:rsidRPr="004966E3">
              <w:rPr>
                <w:b/>
                <w:sz w:val="20"/>
              </w:rPr>
              <w:fldChar w:fldCharType="begin"/>
            </w:r>
            <w:r w:rsidRPr="004966E3">
              <w:rPr>
                <w:b/>
                <w:sz w:val="20"/>
              </w:rPr>
              <w:instrText xml:space="preserve"> SEQ Table \* ARABIC </w:instrText>
            </w:r>
            <w:r w:rsidRPr="004966E3">
              <w:rPr>
                <w:b/>
                <w:sz w:val="20"/>
              </w:rPr>
              <w:fldChar w:fldCharType="separate"/>
            </w:r>
            <w:r w:rsidR="00777CDF">
              <w:rPr>
                <w:b/>
                <w:noProof/>
                <w:sz w:val="20"/>
              </w:rPr>
              <w:t>3</w:t>
            </w:r>
            <w:r w:rsidRPr="004966E3">
              <w:rPr>
                <w:b/>
                <w:sz w:val="20"/>
              </w:rPr>
              <w:fldChar w:fldCharType="end"/>
            </w:r>
            <w:bookmarkEnd w:id="59"/>
            <w:r w:rsidRPr="004966E3">
              <w:rPr>
                <w:b/>
                <w:sz w:val="20"/>
              </w:rPr>
              <w:t xml:space="preserve">: Critical and Non-Critical Quality Attributes of </w:t>
            </w:r>
            <w:proofErr w:type="spellStart"/>
            <w:r w:rsidRPr="004966E3">
              <w:rPr>
                <w:b/>
                <w:sz w:val="20"/>
              </w:rPr>
              <w:t>Gelnique</w:t>
            </w:r>
            <w:proofErr w:type="spellEnd"/>
            <w:r w:rsidRPr="004966E3">
              <w:rPr>
                <w:b/>
                <w:sz w:val="20"/>
              </w:rPr>
              <w:t>™ (Oxybutynin Chloride) Gel 10%</w:t>
            </w:r>
            <w:bookmarkEnd w:id="60"/>
          </w:p>
        </w:tc>
      </w:tr>
      <w:tr w:rsidR="004966E3" w:rsidRPr="004966E3" w:rsidTr="00661081">
        <w:trPr>
          <w:trHeight w:val="288"/>
          <w:tblHeader/>
          <w:jc w:val="center"/>
        </w:trPr>
        <w:tc>
          <w:tcPr>
            <w:tcW w:w="722" w:type="pct"/>
            <w:gridSpan w:val="2"/>
            <w:shd w:val="clear" w:color="auto" w:fill="auto"/>
          </w:tcPr>
          <w:p w:rsidR="000F241E" w:rsidRPr="004966E3" w:rsidRDefault="000F241E" w:rsidP="004966E3">
            <w:pPr>
              <w:jc w:val="center"/>
              <w:rPr>
                <w:b/>
                <w:sz w:val="20"/>
              </w:rPr>
            </w:pPr>
            <w:r w:rsidRPr="004966E3">
              <w:rPr>
                <w:b/>
                <w:sz w:val="20"/>
              </w:rPr>
              <w:t>Quality Attributes of the Drug Product</w:t>
            </w:r>
          </w:p>
        </w:tc>
        <w:tc>
          <w:tcPr>
            <w:tcW w:w="1639" w:type="pct"/>
            <w:shd w:val="clear" w:color="auto" w:fill="auto"/>
            <w:vAlign w:val="center"/>
          </w:tcPr>
          <w:p w:rsidR="000F241E" w:rsidRPr="004966E3" w:rsidRDefault="000F241E" w:rsidP="004966E3">
            <w:pPr>
              <w:jc w:val="center"/>
              <w:rPr>
                <w:b/>
                <w:sz w:val="20"/>
              </w:rPr>
            </w:pPr>
            <w:r w:rsidRPr="004966E3">
              <w:rPr>
                <w:b/>
                <w:sz w:val="20"/>
              </w:rPr>
              <w:t>Target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0F241E" w:rsidRPr="004966E3" w:rsidRDefault="000F241E" w:rsidP="004966E3">
            <w:pPr>
              <w:jc w:val="center"/>
              <w:rPr>
                <w:b/>
                <w:sz w:val="20"/>
              </w:rPr>
            </w:pPr>
            <w:r w:rsidRPr="004966E3">
              <w:rPr>
                <w:b/>
                <w:sz w:val="20"/>
              </w:rPr>
              <w:t>Attribute Critical</w:t>
            </w:r>
          </w:p>
        </w:tc>
        <w:tc>
          <w:tcPr>
            <w:tcW w:w="2211" w:type="pct"/>
            <w:shd w:val="clear" w:color="auto" w:fill="auto"/>
            <w:vAlign w:val="center"/>
          </w:tcPr>
          <w:p w:rsidR="000F241E" w:rsidRPr="004966E3" w:rsidRDefault="000F241E" w:rsidP="004966E3">
            <w:pPr>
              <w:jc w:val="center"/>
              <w:rPr>
                <w:b/>
                <w:sz w:val="20"/>
              </w:rPr>
            </w:pPr>
            <w:r w:rsidRPr="004966E3">
              <w:rPr>
                <w:b/>
                <w:sz w:val="20"/>
              </w:rPr>
              <w:t>Justification of Criticality</w:t>
            </w:r>
          </w:p>
        </w:tc>
      </w:tr>
      <w:tr w:rsidR="004966E3" w:rsidRPr="004966E3" w:rsidTr="002A7FDA">
        <w:trPr>
          <w:trHeight w:val="288"/>
          <w:jc w:val="center"/>
        </w:trPr>
        <w:tc>
          <w:tcPr>
            <w:tcW w:w="718" w:type="pct"/>
            <w:shd w:val="clear" w:color="auto" w:fill="auto"/>
            <w:vAlign w:val="center"/>
          </w:tcPr>
          <w:p w:rsidR="00480AEB" w:rsidRPr="004966E3" w:rsidRDefault="00991546" w:rsidP="004966E3">
            <w:pPr>
              <w:jc w:val="center"/>
              <w:rPr>
                <w:sz w:val="20"/>
              </w:rPr>
            </w:pPr>
            <w:bookmarkStart w:id="61" w:name="OLE_LINK2"/>
            <w:r w:rsidRPr="004966E3">
              <w:rPr>
                <w:sz w:val="20"/>
              </w:rPr>
              <w:t>Appearance</w:t>
            </w:r>
          </w:p>
        </w:tc>
        <w:tc>
          <w:tcPr>
            <w:tcW w:w="1643" w:type="pct"/>
            <w:gridSpan w:val="2"/>
            <w:shd w:val="clear" w:color="auto" w:fill="auto"/>
            <w:vAlign w:val="center"/>
          </w:tcPr>
          <w:p w:rsidR="00480AEB" w:rsidRPr="004966E3" w:rsidRDefault="00991546" w:rsidP="004966E3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>Transparent to translucent gel packaged in a heat seal sachet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480AEB" w:rsidRPr="004966E3" w:rsidRDefault="00661081" w:rsidP="004966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11" w:type="pct"/>
            <w:shd w:val="clear" w:color="auto" w:fill="auto"/>
            <w:vAlign w:val="center"/>
          </w:tcPr>
          <w:p w:rsidR="00480AEB" w:rsidRPr="004966E3" w:rsidRDefault="00661081" w:rsidP="004966E3">
            <w:pPr>
              <w:rPr>
                <w:sz w:val="20"/>
              </w:rPr>
            </w:pPr>
            <w:r>
              <w:rPr>
                <w:sz w:val="20"/>
              </w:rPr>
              <w:t xml:space="preserve">The appearance is established by combining all the raw materials; it does not directly impact quality of the drug product. It is a secondary outcome and it will be monitored at drug product release. </w:t>
            </w:r>
          </w:p>
        </w:tc>
      </w:tr>
      <w:tr w:rsidR="004966E3" w:rsidRPr="004966E3" w:rsidTr="002A7FDA">
        <w:trPr>
          <w:trHeight w:val="288"/>
          <w:jc w:val="center"/>
        </w:trPr>
        <w:tc>
          <w:tcPr>
            <w:tcW w:w="718" w:type="pct"/>
            <w:shd w:val="clear" w:color="auto" w:fill="auto"/>
            <w:vAlign w:val="center"/>
          </w:tcPr>
          <w:p w:rsidR="00480AEB" w:rsidRPr="004966E3" w:rsidRDefault="00991546" w:rsidP="004966E3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>Identity</w:t>
            </w:r>
          </w:p>
        </w:tc>
        <w:tc>
          <w:tcPr>
            <w:tcW w:w="1643" w:type="pct"/>
            <w:gridSpan w:val="2"/>
            <w:shd w:val="clear" w:color="auto" w:fill="auto"/>
            <w:vAlign w:val="center"/>
          </w:tcPr>
          <w:p w:rsidR="00480AEB" w:rsidRPr="004966E3" w:rsidRDefault="00991546" w:rsidP="0030378D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 xml:space="preserve">Matches </w:t>
            </w:r>
            <w:r w:rsidR="0030378D">
              <w:rPr>
                <w:sz w:val="20"/>
              </w:rPr>
              <w:t>r</w:t>
            </w:r>
            <w:r w:rsidRPr="004966E3">
              <w:rPr>
                <w:sz w:val="20"/>
              </w:rPr>
              <w:t>etention times of reference standard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480AEB" w:rsidRPr="004966E3" w:rsidRDefault="00661081" w:rsidP="004966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Yes*</w:t>
            </w:r>
          </w:p>
        </w:tc>
        <w:tc>
          <w:tcPr>
            <w:tcW w:w="2211" w:type="pct"/>
            <w:shd w:val="clear" w:color="auto" w:fill="auto"/>
            <w:vAlign w:val="center"/>
          </w:tcPr>
          <w:p w:rsidR="00480AEB" w:rsidRDefault="00661081" w:rsidP="00661081">
            <w:pPr>
              <w:rPr>
                <w:sz w:val="20"/>
              </w:rPr>
            </w:pPr>
            <w:r>
              <w:rPr>
                <w:sz w:val="20"/>
              </w:rPr>
              <w:t>Identity is critical for the quality of the drug product.</w:t>
            </w:r>
          </w:p>
          <w:p w:rsidR="00661081" w:rsidRDefault="00661081" w:rsidP="00661081">
            <w:pPr>
              <w:rPr>
                <w:sz w:val="20"/>
              </w:rPr>
            </w:pPr>
          </w:p>
          <w:p w:rsidR="00661081" w:rsidRPr="004966E3" w:rsidRDefault="00661081" w:rsidP="0030378D">
            <w:pPr>
              <w:rPr>
                <w:sz w:val="20"/>
              </w:rPr>
            </w:pPr>
            <w:r w:rsidRPr="00280336">
              <w:rPr>
                <w:color w:val="000000"/>
                <w:sz w:val="20"/>
              </w:rPr>
              <w:t xml:space="preserve">*Formulation and process variables </w:t>
            </w:r>
            <w:r w:rsidR="0030378D">
              <w:rPr>
                <w:color w:val="000000"/>
                <w:sz w:val="20"/>
              </w:rPr>
              <w:t xml:space="preserve">will not </w:t>
            </w:r>
            <w:r w:rsidRPr="00280336">
              <w:rPr>
                <w:color w:val="000000"/>
                <w:sz w:val="20"/>
              </w:rPr>
              <w:t>impact th</w:t>
            </w:r>
            <w:r w:rsidR="0030378D">
              <w:rPr>
                <w:color w:val="000000"/>
                <w:sz w:val="20"/>
              </w:rPr>
              <w:t>is</w:t>
            </w:r>
            <w:r w:rsidRPr="00280336">
              <w:rPr>
                <w:color w:val="000000"/>
                <w:sz w:val="20"/>
              </w:rPr>
              <w:t xml:space="preserve"> CQA. Therefore, the CQA will not be investigated and discussed in detail in subsequent risk assessments. However, the CQA remains a target element of the QTPP and is ensured through the product and process design and the control strategy.</w:t>
            </w:r>
            <w:r w:rsidRPr="00280336">
              <w:rPr>
                <w:rFonts w:ascii="Segoe UI" w:hAnsi="Segoe UI" w:cs="Segoe UI"/>
                <w:color w:val="000000"/>
                <w:sz w:val="20"/>
              </w:rPr>
              <w:t> </w:t>
            </w:r>
          </w:p>
        </w:tc>
      </w:tr>
      <w:bookmarkEnd w:id="61"/>
      <w:tr w:rsidR="004966E3" w:rsidRPr="004966E3" w:rsidTr="002A7FDA">
        <w:trPr>
          <w:trHeight w:val="288"/>
          <w:jc w:val="center"/>
        </w:trPr>
        <w:tc>
          <w:tcPr>
            <w:tcW w:w="718" w:type="pct"/>
            <w:shd w:val="clear" w:color="auto" w:fill="auto"/>
            <w:vAlign w:val="center"/>
          </w:tcPr>
          <w:p w:rsidR="00480AEB" w:rsidRPr="004966E3" w:rsidRDefault="00991546" w:rsidP="004966E3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>Assay</w:t>
            </w:r>
          </w:p>
        </w:tc>
        <w:tc>
          <w:tcPr>
            <w:tcW w:w="1643" w:type="pct"/>
            <w:gridSpan w:val="2"/>
            <w:shd w:val="clear" w:color="auto" w:fill="auto"/>
            <w:vAlign w:val="center"/>
          </w:tcPr>
          <w:p w:rsidR="00480AEB" w:rsidRPr="004966E3" w:rsidRDefault="00991546" w:rsidP="0030378D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 xml:space="preserve">90.0 – 110.0% </w:t>
            </w:r>
            <w:r w:rsidR="004966E3" w:rsidRPr="004966E3">
              <w:rPr>
                <w:sz w:val="20"/>
              </w:rPr>
              <w:t>LC</w:t>
            </w:r>
            <w:r w:rsidRPr="004966E3">
              <w:rPr>
                <w:sz w:val="20"/>
              </w:rPr>
              <w:t xml:space="preserve"> (</w:t>
            </w:r>
            <w:r w:rsidR="0030378D">
              <w:rPr>
                <w:sz w:val="20"/>
              </w:rPr>
              <w:t>a</w:t>
            </w:r>
            <w:r w:rsidR="004966E3" w:rsidRPr="004966E3">
              <w:rPr>
                <w:sz w:val="20"/>
              </w:rPr>
              <w:t>vg.</w:t>
            </w:r>
            <w:r w:rsidRPr="004966E3">
              <w:rPr>
                <w:sz w:val="20"/>
              </w:rPr>
              <w:t>)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480AEB" w:rsidRPr="004966E3" w:rsidRDefault="00661081" w:rsidP="004966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11" w:type="pct"/>
            <w:shd w:val="clear" w:color="auto" w:fill="auto"/>
            <w:vAlign w:val="center"/>
          </w:tcPr>
          <w:p w:rsidR="000D3C29" w:rsidRPr="00F82380" w:rsidRDefault="000D3C29" w:rsidP="000D3C29">
            <w:pPr>
              <w:rPr>
                <w:sz w:val="20"/>
              </w:rPr>
            </w:pPr>
            <w:r>
              <w:rPr>
                <w:sz w:val="20"/>
              </w:rPr>
              <w:t xml:space="preserve">Variability in assay </w:t>
            </w:r>
            <w:r w:rsidRPr="00F82380">
              <w:rPr>
                <w:sz w:val="20"/>
              </w:rPr>
              <w:t xml:space="preserve">can affect </w:t>
            </w:r>
            <w:r>
              <w:rPr>
                <w:sz w:val="20"/>
              </w:rPr>
              <w:t xml:space="preserve">the </w:t>
            </w:r>
            <w:r w:rsidR="0030378D">
              <w:rPr>
                <w:sz w:val="20"/>
              </w:rPr>
              <w:t>efficacy</w:t>
            </w:r>
            <w:r w:rsidRPr="00F82380">
              <w:rPr>
                <w:sz w:val="20"/>
              </w:rPr>
              <w:t xml:space="preserve"> of the </w:t>
            </w:r>
            <w:r w:rsidR="00A07EBA">
              <w:rPr>
                <w:sz w:val="20"/>
              </w:rPr>
              <w:t>drug</w:t>
            </w:r>
            <w:r w:rsidRPr="00F82380">
              <w:rPr>
                <w:sz w:val="20"/>
              </w:rPr>
              <w:t xml:space="preserve"> product.</w:t>
            </w:r>
          </w:p>
          <w:p w:rsidR="00480AEB" w:rsidRPr="004966E3" w:rsidRDefault="000D3C29" w:rsidP="000D3C29">
            <w:pPr>
              <w:rPr>
                <w:sz w:val="20"/>
              </w:rPr>
            </w:pPr>
            <w:r>
              <w:rPr>
                <w:sz w:val="20"/>
              </w:rPr>
              <w:t>This attributes could</w:t>
            </w:r>
            <w:r w:rsidRPr="00F82380">
              <w:rPr>
                <w:sz w:val="20"/>
              </w:rPr>
              <w:t xml:space="preserve"> potential</w:t>
            </w:r>
            <w:r>
              <w:rPr>
                <w:sz w:val="20"/>
              </w:rPr>
              <w:t>ly</w:t>
            </w:r>
            <w:r w:rsidRPr="00F82380">
              <w:rPr>
                <w:sz w:val="20"/>
              </w:rPr>
              <w:t xml:space="preserve"> be influenced by the formulation and process variables.</w:t>
            </w:r>
          </w:p>
        </w:tc>
      </w:tr>
      <w:tr w:rsidR="004966E3" w:rsidRPr="004966E3" w:rsidTr="002A7FDA">
        <w:trPr>
          <w:trHeight w:val="288"/>
          <w:jc w:val="center"/>
        </w:trPr>
        <w:tc>
          <w:tcPr>
            <w:tcW w:w="718" w:type="pct"/>
            <w:shd w:val="clear" w:color="auto" w:fill="auto"/>
            <w:vAlign w:val="center"/>
          </w:tcPr>
          <w:p w:rsidR="00480AEB" w:rsidRPr="004966E3" w:rsidRDefault="00991546" w:rsidP="004966E3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>Content Uniformity</w:t>
            </w:r>
          </w:p>
        </w:tc>
        <w:tc>
          <w:tcPr>
            <w:tcW w:w="1643" w:type="pct"/>
            <w:gridSpan w:val="2"/>
            <w:shd w:val="clear" w:color="auto" w:fill="auto"/>
            <w:vAlign w:val="center"/>
          </w:tcPr>
          <w:p w:rsidR="00480AEB" w:rsidRPr="004966E3" w:rsidRDefault="00991546" w:rsidP="004966E3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>Confirms to USP &lt;905&gt;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480AEB" w:rsidRPr="004966E3" w:rsidRDefault="00B45A42" w:rsidP="004966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11" w:type="pct"/>
            <w:shd w:val="clear" w:color="auto" w:fill="auto"/>
            <w:vAlign w:val="center"/>
          </w:tcPr>
          <w:p w:rsidR="00480AEB" w:rsidRPr="004966E3" w:rsidRDefault="00B45A42" w:rsidP="00B45A42">
            <w:pPr>
              <w:rPr>
                <w:sz w:val="20"/>
              </w:rPr>
            </w:pPr>
            <w:r>
              <w:rPr>
                <w:sz w:val="20"/>
              </w:rPr>
              <w:t>This is a transparent hydro-</w:t>
            </w:r>
            <w:proofErr w:type="spellStart"/>
            <w:r>
              <w:rPr>
                <w:sz w:val="20"/>
              </w:rPr>
              <w:t>alocholic</w:t>
            </w:r>
            <w:proofErr w:type="spellEnd"/>
            <w:r>
              <w:rPr>
                <w:sz w:val="20"/>
              </w:rPr>
              <w:t xml:space="preserve"> gel formulation where the drug substance is free</w:t>
            </w:r>
            <w:r w:rsidR="0030378D">
              <w:rPr>
                <w:sz w:val="20"/>
              </w:rPr>
              <w:t>ly</w:t>
            </w:r>
            <w:r>
              <w:rPr>
                <w:sz w:val="20"/>
              </w:rPr>
              <w:t xml:space="preserve"> soluble in ethanol. Content uniformity is not directly related to drug product quality, therefore it is not considered critical.</w:t>
            </w:r>
          </w:p>
        </w:tc>
      </w:tr>
      <w:tr w:rsidR="004966E3" w:rsidRPr="004966E3" w:rsidTr="002A7FDA">
        <w:trPr>
          <w:trHeight w:val="288"/>
          <w:jc w:val="center"/>
        </w:trPr>
        <w:tc>
          <w:tcPr>
            <w:tcW w:w="718" w:type="pct"/>
            <w:shd w:val="clear" w:color="auto" w:fill="auto"/>
            <w:vAlign w:val="center"/>
          </w:tcPr>
          <w:p w:rsidR="00480AEB" w:rsidRPr="004966E3" w:rsidRDefault="00991546" w:rsidP="004966E3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>Minimum Fill</w:t>
            </w:r>
          </w:p>
        </w:tc>
        <w:tc>
          <w:tcPr>
            <w:tcW w:w="1643" w:type="pct"/>
            <w:gridSpan w:val="2"/>
            <w:shd w:val="clear" w:color="auto" w:fill="auto"/>
            <w:vAlign w:val="center"/>
          </w:tcPr>
          <w:p w:rsidR="00480AEB" w:rsidRPr="004966E3" w:rsidRDefault="00991546" w:rsidP="004966E3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>Conforms to USP &lt;755&gt;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480AEB" w:rsidRPr="004966E3" w:rsidRDefault="00661081" w:rsidP="004966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11" w:type="pct"/>
            <w:shd w:val="clear" w:color="auto" w:fill="auto"/>
            <w:vAlign w:val="center"/>
          </w:tcPr>
          <w:p w:rsidR="00480AEB" w:rsidRPr="00B45A42" w:rsidRDefault="00B45A42" w:rsidP="004966E3">
            <w:pPr>
              <w:rPr>
                <w:sz w:val="20"/>
              </w:rPr>
            </w:pPr>
            <w:r>
              <w:rPr>
                <w:sz w:val="20"/>
              </w:rPr>
              <w:t xml:space="preserve">Minimum fill is required to meet the label claim and has impact on the efficacy of the drug product. </w:t>
            </w:r>
          </w:p>
        </w:tc>
      </w:tr>
      <w:tr w:rsidR="004966E3" w:rsidRPr="004966E3" w:rsidTr="002A7FDA">
        <w:trPr>
          <w:trHeight w:val="288"/>
          <w:jc w:val="center"/>
        </w:trPr>
        <w:tc>
          <w:tcPr>
            <w:tcW w:w="718" w:type="pct"/>
            <w:shd w:val="clear" w:color="auto" w:fill="auto"/>
            <w:vAlign w:val="center"/>
          </w:tcPr>
          <w:p w:rsidR="00991546" w:rsidRPr="004966E3" w:rsidRDefault="00991546" w:rsidP="004966E3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>Impurities and Degradation products</w:t>
            </w:r>
          </w:p>
        </w:tc>
        <w:tc>
          <w:tcPr>
            <w:tcW w:w="1643" w:type="pct"/>
            <w:gridSpan w:val="2"/>
            <w:shd w:val="clear" w:color="auto" w:fill="auto"/>
            <w:vAlign w:val="center"/>
          </w:tcPr>
          <w:p w:rsidR="000A137D" w:rsidRPr="004966E3" w:rsidRDefault="000A137D" w:rsidP="004966E3">
            <w:pPr>
              <w:rPr>
                <w:sz w:val="20"/>
              </w:rPr>
            </w:pPr>
            <w:r w:rsidRPr="004966E3">
              <w:rPr>
                <w:sz w:val="20"/>
              </w:rPr>
              <w:t>PCGE: NMT 0.2% (weight)</w:t>
            </w:r>
          </w:p>
          <w:p w:rsidR="000A137D" w:rsidRPr="004966E3" w:rsidRDefault="000A137D" w:rsidP="004966E3">
            <w:pPr>
              <w:rPr>
                <w:sz w:val="20"/>
              </w:rPr>
            </w:pPr>
            <w:r w:rsidRPr="004966E3">
              <w:rPr>
                <w:sz w:val="20"/>
              </w:rPr>
              <w:t xml:space="preserve">PCGA: NMT </w:t>
            </w:r>
            <w:r w:rsidR="00C41978">
              <w:rPr>
                <w:sz w:val="20"/>
              </w:rPr>
              <w:t>2.0</w:t>
            </w:r>
            <w:r w:rsidRPr="004966E3">
              <w:rPr>
                <w:sz w:val="20"/>
              </w:rPr>
              <w:t>% (weight)</w:t>
            </w:r>
          </w:p>
          <w:p w:rsidR="000A137D" w:rsidRPr="004966E3" w:rsidRDefault="000A137D" w:rsidP="004966E3">
            <w:pPr>
              <w:rPr>
                <w:sz w:val="20"/>
              </w:rPr>
            </w:pPr>
            <w:r w:rsidRPr="004966E3">
              <w:rPr>
                <w:sz w:val="20"/>
              </w:rPr>
              <w:t>Total PCGE and PCGA: NMT 2.2% (weight)</w:t>
            </w:r>
          </w:p>
          <w:p w:rsidR="000A137D" w:rsidRPr="004966E3" w:rsidRDefault="000A137D" w:rsidP="004966E3">
            <w:pPr>
              <w:rPr>
                <w:sz w:val="20"/>
              </w:rPr>
            </w:pPr>
            <w:r w:rsidRPr="004966E3">
              <w:rPr>
                <w:sz w:val="20"/>
              </w:rPr>
              <w:t>Any Other Individuals: NMT 0.2% (area)</w:t>
            </w:r>
          </w:p>
          <w:p w:rsidR="00991546" w:rsidRPr="004966E3" w:rsidRDefault="000A137D" w:rsidP="004966E3">
            <w:pPr>
              <w:rPr>
                <w:sz w:val="20"/>
              </w:rPr>
            </w:pPr>
            <w:r w:rsidRPr="004966E3">
              <w:rPr>
                <w:sz w:val="20"/>
              </w:rPr>
              <w:t>Total Unknowns: NMT 1.0% (area)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991546" w:rsidRPr="004966E3" w:rsidRDefault="00661081" w:rsidP="004966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11" w:type="pct"/>
            <w:shd w:val="clear" w:color="auto" w:fill="auto"/>
            <w:vAlign w:val="center"/>
          </w:tcPr>
          <w:p w:rsidR="00991546" w:rsidRPr="004966E3" w:rsidRDefault="00A07EBA" w:rsidP="00A07EBA">
            <w:pPr>
              <w:rPr>
                <w:b/>
                <w:sz w:val="20"/>
              </w:rPr>
            </w:pPr>
            <w:r>
              <w:rPr>
                <w:sz w:val="20"/>
              </w:rPr>
              <w:t xml:space="preserve">The limits </w:t>
            </w:r>
            <w:r w:rsidR="00631828">
              <w:rPr>
                <w:sz w:val="20"/>
              </w:rPr>
              <w:t xml:space="preserve">on degradation product are critical for safety and must be controlled based on </w:t>
            </w:r>
            <w:proofErr w:type="spellStart"/>
            <w:r w:rsidR="00631828">
              <w:rPr>
                <w:sz w:val="20"/>
              </w:rPr>
              <w:t>compendial</w:t>
            </w:r>
            <w:proofErr w:type="spellEnd"/>
            <w:r w:rsidR="00631828">
              <w:rPr>
                <w:sz w:val="20"/>
              </w:rPr>
              <w:t xml:space="preserve">/ICH requirements. The limit for individual unknowns and known degradants complies with ICH Q3B. </w:t>
            </w:r>
          </w:p>
        </w:tc>
      </w:tr>
      <w:tr w:rsidR="004966E3" w:rsidRPr="004966E3" w:rsidTr="002A7FDA">
        <w:trPr>
          <w:trHeight w:val="288"/>
          <w:jc w:val="center"/>
        </w:trPr>
        <w:tc>
          <w:tcPr>
            <w:tcW w:w="718" w:type="pct"/>
            <w:shd w:val="clear" w:color="auto" w:fill="auto"/>
            <w:vAlign w:val="center"/>
          </w:tcPr>
          <w:p w:rsidR="00991546" w:rsidRPr="004966E3" w:rsidRDefault="00991546" w:rsidP="004966E3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>Ethanol</w:t>
            </w:r>
          </w:p>
        </w:tc>
        <w:tc>
          <w:tcPr>
            <w:tcW w:w="1643" w:type="pct"/>
            <w:gridSpan w:val="2"/>
            <w:shd w:val="clear" w:color="auto" w:fill="auto"/>
            <w:vAlign w:val="center"/>
          </w:tcPr>
          <w:p w:rsidR="00991546" w:rsidRPr="004966E3" w:rsidRDefault="004966E3" w:rsidP="004966E3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>614 – 750 mg/g (Avg.)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991546" w:rsidRPr="004966E3" w:rsidRDefault="00661081" w:rsidP="004966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11" w:type="pct"/>
            <w:shd w:val="clear" w:color="auto" w:fill="auto"/>
            <w:vAlign w:val="center"/>
          </w:tcPr>
          <w:p w:rsidR="00991546" w:rsidRDefault="00631828" w:rsidP="004966E3">
            <w:pPr>
              <w:rPr>
                <w:sz w:val="20"/>
              </w:rPr>
            </w:pPr>
            <w:r>
              <w:rPr>
                <w:sz w:val="20"/>
              </w:rPr>
              <w:t xml:space="preserve">Variability in ethanol content can affect the quality of the drug product. </w:t>
            </w:r>
          </w:p>
          <w:p w:rsidR="00631828" w:rsidRPr="00631828" w:rsidRDefault="00631828" w:rsidP="004966E3">
            <w:pPr>
              <w:rPr>
                <w:sz w:val="20"/>
              </w:rPr>
            </w:pPr>
            <w:r>
              <w:rPr>
                <w:sz w:val="20"/>
              </w:rPr>
              <w:t>This attributes could</w:t>
            </w:r>
            <w:r w:rsidRPr="00F82380">
              <w:rPr>
                <w:sz w:val="20"/>
              </w:rPr>
              <w:t xml:space="preserve"> potential</w:t>
            </w:r>
            <w:r>
              <w:rPr>
                <w:sz w:val="20"/>
              </w:rPr>
              <w:t>ly</w:t>
            </w:r>
            <w:r w:rsidRPr="00F82380">
              <w:rPr>
                <w:sz w:val="20"/>
              </w:rPr>
              <w:t xml:space="preserve"> be influenced by the formulation and process variables.</w:t>
            </w:r>
          </w:p>
        </w:tc>
      </w:tr>
      <w:tr w:rsidR="004966E3" w:rsidRPr="004966E3" w:rsidTr="002A7FDA">
        <w:trPr>
          <w:trHeight w:val="288"/>
          <w:jc w:val="center"/>
        </w:trPr>
        <w:tc>
          <w:tcPr>
            <w:tcW w:w="718" w:type="pct"/>
            <w:shd w:val="clear" w:color="auto" w:fill="auto"/>
            <w:vAlign w:val="center"/>
          </w:tcPr>
          <w:p w:rsidR="00991546" w:rsidRPr="004966E3" w:rsidRDefault="00991546" w:rsidP="004966E3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>Viscosity</w:t>
            </w:r>
          </w:p>
        </w:tc>
        <w:tc>
          <w:tcPr>
            <w:tcW w:w="1643" w:type="pct"/>
            <w:gridSpan w:val="2"/>
            <w:shd w:val="clear" w:color="auto" w:fill="auto"/>
            <w:vAlign w:val="center"/>
          </w:tcPr>
          <w:p w:rsidR="00991546" w:rsidRPr="004966E3" w:rsidRDefault="004966E3" w:rsidP="004966E3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 xml:space="preserve">15,000 – 45,000 </w:t>
            </w:r>
            <w:proofErr w:type="spellStart"/>
            <w:r w:rsidRPr="004966E3">
              <w:rPr>
                <w:sz w:val="20"/>
              </w:rPr>
              <w:t>cP</w:t>
            </w:r>
            <w:proofErr w:type="spellEnd"/>
          </w:p>
        </w:tc>
        <w:tc>
          <w:tcPr>
            <w:tcW w:w="428" w:type="pct"/>
            <w:shd w:val="clear" w:color="auto" w:fill="auto"/>
            <w:vAlign w:val="center"/>
          </w:tcPr>
          <w:p w:rsidR="00991546" w:rsidRPr="004966E3" w:rsidRDefault="00AF1252" w:rsidP="004966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11" w:type="pct"/>
            <w:shd w:val="clear" w:color="auto" w:fill="auto"/>
            <w:vAlign w:val="center"/>
          </w:tcPr>
          <w:p w:rsidR="00991546" w:rsidRPr="00631828" w:rsidRDefault="00AF1252" w:rsidP="00AF1252">
            <w:pPr>
              <w:rPr>
                <w:sz w:val="20"/>
              </w:rPr>
            </w:pPr>
            <w:r>
              <w:rPr>
                <w:sz w:val="20"/>
              </w:rPr>
              <w:t>The finished drug product is topically applied. Therefore, v</w:t>
            </w:r>
            <w:r w:rsidR="00E87251">
              <w:rPr>
                <w:sz w:val="20"/>
              </w:rPr>
              <w:t xml:space="preserve">ariability in viscosity </w:t>
            </w:r>
            <w:r>
              <w:rPr>
                <w:sz w:val="20"/>
              </w:rPr>
              <w:t>will not</w:t>
            </w:r>
            <w:r w:rsidR="00E87251">
              <w:rPr>
                <w:sz w:val="20"/>
              </w:rPr>
              <w:t xml:space="preserve"> affect the efficacy of the drug product. </w:t>
            </w:r>
          </w:p>
        </w:tc>
      </w:tr>
      <w:tr w:rsidR="002A7FDA" w:rsidRPr="004966E3" w:rsidTr="002A7FDA">
        <w:trPr>
          <w:trHeight w:val="288"/>
          <w:jc w:val="center"/>
        </w:trPr>
        <w:tc>
          <w:tcPr>
            <w:tcW w:w="718" w:type="pct"/>
            <w:shd w:val="clear" w:color="auto" w:fill="auto"/>
            <w:vAlign w:val="center"/>
          </w:tcPr>
          <w:p w:rsidR="002A7FDA" w:rsidRPr="004966E3" w:rsidRDefault="002A7FDA" w:rsidP="004966E3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>pH</w:t>
            </w:r>
          </w:p>
        </w:tc>
        <w:tc>
          <w:tcPr>
            <w:tcW w:w="1643" w:type="pct"/>
            <w:gridSpan w:val="2"/>
            <w:shd w:val="clear" w:color="auto" w:fill="auto"/>
            <w:vAlign w:val="center"/>
          </w:tcPr>
          <w:p w:rsidR="002A7FDA" w:rsidRPr="004966E3" w:rsidRDefault="002A7FDA" w:rsidP="004966E3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 xml:space="preserve">5.0 – 7.0 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2A7FDA" w:rsidRPr="004966E3" w:rsidRDefault="002A7FDA" w:rsidP="004966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11" w:type="pct"/>
            <w:shd w:val="clear" w:color="auto" w:fill="auto"/>
            <w:vAlign w:val="center"/>
          </w:tcPr>
          <w:p w:rsidR="002A7FDA" w:rsidRPr="004966E3" w:rsidRDefault="002A7FDA" w:rsidP="002A7FDA">
            <w:pPr>
              <w:rPr>
                <w:sz w:val="20"/>
              </w:rPr>
            </w:pPr>
            <w:r>
              <w:rPr>
                <w:sz w:val="20"/>
              </w:rPr>
              <w:t xml:space="preserve">The pH is established by combining all the raw materials; it does not directly impact quality of the drug product. It is a secondary outcome and it will be monitored at drug product release. </w:t>
            </w:r>
          </w:p>
        </w:tc>
      </w:tr>
      <w:tr w:rsidR="002A7FDA" w:rsidRPr="004966E3" w:rsidTr="002A7FDA">
        <w:trPr>
          <w:cantSplit/>
          <w:trHeight w:val="288"/>
          <w:jc w:val="center"/>
        </w:trPr>
        <w:tc>
          <w:tcPr>
            <w:tcW w:w="718" w:type="pct"/>
            <w:shd w:val="clear" w:color="auto" w:fill="auto"/>
            <w:vAlign w:val="center"/>
          </w:tcPr>
          <w:p w:rsidR="002A7FDA" w:rsidRPr="004966E3" w:rsidRDefault="002A7FDA" w:rsidP="004966E3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lastRenderedPageBreak/>
              <w:t>Drug Release</w:t>
            </w:r>
          </w:p>
        </w:tc>
        <w:tc>
          <w:tcPr>
            <w:tcW w:w="1643" w:type="pct"/>
            <w:gridSpan w:val="2"/>
            <w:shd w:val="clear" w:color="auto" w:fill="auto"/>
            <w:vAlign w:val="center"/>
          </w:tcPr>
          <w:p w:rsidR="002A7FDA" w:rsidRPr="004966E3" w:rsidRDefault="002A7FDA" w:rsidP="004966E3">
            <w:pPr>
              <w:rPr>
                <w:sz w:val="20"/>
              </w:rPr>
            </w:pPr>
            <w:r w:rsidRPr="004966E3">
              <w:rPr>
                <w:b/>
                <w:sz w:val="20"/>
                <w:u w:val="single"/>
              </w:rPr>
              <w:t>Level 1 (n = 6 sachets)</w:t>
            </w:r>
          </w:p>
          <w:p w:rsidR="002A7FDA" w:rsidRPr="004966E3" w:rsidRDefault="002A7FDA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  <w:r w:rsidRPr="004966E3">
              <w:rPr>
                <w:sz w:val="20"/>
              </w:rPr>
              <w:t>1 hour</w:t>
            </w:r>
            <w:r w:rsidRPr="004966E3">
              <w:rPr>
                <w:sz w:val="20"/>
              </w:rPr>
              <w:tab/>
              <w:t xml:space="preserve">  18 – 54% LC (Individual)</w:t>
            </w:r>
          </w:p>
          <w:p w:rsidR="002A7FDA" w:rsidRPr="004966E3" w:rsidRDefault="002A7FDA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  <w:r w:rsidRPr="004966E3">
              <w:rPr>
                <w:sz w:val="20"/>
              </w:rPr>
              <w:t>2 hours</w:t>
            </w:r>
            <w:r w:rsidRPr="004966E3">
              <w:rPr>
                <w:sz w:val="20"/>
              </w:rPr>
              <w:tab/>
              <w:t xml:space="preserve">  42 – 82% LC (Individual)</w:t>
            </w:r>
          </w:p>
          <w:p w:rsidR="002A7FDA" w:rsidRPr="004966E3" w:rsidRDefault="002A7FDA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  <w:r w:rsidRPr="004966E3">
              <w:rPr>
                <w:sz w:val="20"/>
              </w:rPr>
              <w:t>12 hours NLT 80% LC (Individual)</w:t>
            </w:r>
          </w:p>
          <w:p w:rsidR="002A7FDA" w:rsidRPr="004966E3" w:rsidRDefault="002A7FDA" w:rsidP="00241347">
            <w:pPr>
              <w:pStyle w:val="Heading1"/>
              <w:keepNext w:val="0"/>
              <w:numPr>
                <w:ilvl w:val="0"/>
                <w:numId w:val="0"/>
              </w:numPr>
              <w:spacing w:line="240" w:lineRule="auto"/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A7FDA" w:rsidRDefault="002A7FDA" w:rsidP="00241347">
            <w:pPr>
              <w:jc w:val="center"/>
              <w:rPr>
                <w:sz w:val="20"/>
              </w:rPr>
            </w:pPr>
            <w:r w:rsidRPr="00241347">
              <w:rPr>
                <w:sz w:val="20"/>
              </w:rPr>
              <w:t>OR</w:t>
            </w:r>
          </w:p>
          <w:p w:rsidR="00241347" w:rsidRPr="00241347" w:rsidRDefault="00241347" w:rsidP="00241347">
            <w:pPr>
              <w:jc w:val="center"/>
              <w:rPr>
                <w:sz w:val="20"/>
              </w:rPr>
            </w:pPr>
          </w:p>
          <w:p w:rsidR="002A7FDA" w:rsidRPr="004966E3" w:rsidRDefault="002A7FDA" w:rsidP="004966E3">
            <w:pPr>
              <w:rPr>
                <w:sz w:val="20"/>
              </w:rPr>
            </w:pPr>
            <w:r w:rsidRPr="004966E3">
              <w:rPr>
                <w:b/>
                <w:sz w:val="20"/>
                <w:u w:val="single"/>
              </w:rPr>
              <w:t>Level 2 (n = 12 sachets)</w:t>
            </w:r>
          </w:p>
          <w:p w:rsidR="002A7FDA" w:rsidRPr="004966E3" w:rsidRDefault="002A7FDA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  <w:r w:rsidRPr="004966E3">
              <w:rPr>
                <w:sz w:val="20"/>
              </w:rPr>
              <w:t>1 hour</w:t>
            </w:r>
            <w:r w:rsidRPr="004966E3">
              <w:rPr>
                <w:sz w:val="20"/>
              </w:rPr>
              <w:tab/>
              <w:t xml:space="preserve">  18 – 54% LC (Avg.)</w:t>
            </w:r>
          </w:p>
          <w:p w:rsidR="002A7FDA" w:rsidRPr="004966E3" w:rsidRDefault="002A7FDA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  <w:r w:rsidRPr="004966E3">
              <w:rPr>
                <w:sz w:val="20"/>
              </w:rPr>
              <w:tab/>
              <w:t xml:space="preserve">  14 – 58% LC (Individual)</w:t>
            </w:r>
          </w:p>
          <w:p w:rsidR="002A7FDA" w:rsidRPr="004966E3" w:rsidRDefault="002A7FDA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  <w:r w:rsidRPr="004966E3">
              <w:rPr>
                <w:sz w:val="20"/>
              </w:rPr>
              <w:t>2 hours</w:t>
            </w:r>
            <w:r w:rsidRPr="004966E3">
              <w:rPr>
                <w:sz w:val="20"/>
              </w:rPr>
              <w:tab/>
              <w:t xml:space="preserve">  42 – 82% LC (Avg.)</w:t>
            </w:r>
          </w:p>
          <w:p w:rsidR="002A7FDA" w:rsidRPr="004966E3" w:rsidRDefault="002A7FDA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  <w:r w:rsidRPr="004966E3">
              <w:rPr>
                <w:sz w:val="20"/>
              </w:rPr>
              <w:tab/>
              <w:t xml:space="preserve">  36 – 88% LC (Individual)</w:t>
            </w:r>
          </w:p>
          <w:p w:rsidR="002A7FDA" w:rsidRPr="004966E3" w:rsidRDefault="002A7FDA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  <w:r w:rsidRPr="004966E3">
              <w:rPr>
                <w:sz w:val="20"/>
              </w:rPr>
              <w:t>12 hours NLT 80% LC (Avg.)</w:t>
            </w:r>
          </w:p>
          <w:p w:rsidR="002A7FDA" w:rsidRDefault="002A7FDA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  <w:r w:rsidRPr="004966E3">
              <w:rPr>
                <w:sz w:val="20"/>
              </w:rPr>
              <w:tab/>
              <w:t xml:space="preserve">  NLT 71% LC (Individual)</w:t>
            </w:r>
          </w:p>
          <w:p w:rsidR="00241347" w:rsidRPr="004966E3" w:rsidRDefault="00241347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</w:p>
          <w:p w:rsidR="002A7FDA" w:rsidRDefault="002A7FDA" w:rsidP="00241347">
            <w:pPr>
              <w:jc w:val="center"/>
              <w:rPr>
                <w:sz w:val="20"/>
              </w:rPr>
            </w:pPr>
            <w:r w:rsidRPr="00241347">
              <w:rPr>
                <w:sz w:val="20"/>
              </w:rPr>
              <w:t>OR</w:t>
            </w:r>
          </w:p>
          <w:p w:rsidR="00241347" w:rsidRPr="00F66A59" w:rsidRDefault="00241347" w:rsidP="00241347">
            <w:pPr>
              <w:jc w:val="center"/>
              <w:rPr>
                <w:sz w:val="20"/>
              </w:rPr>
            </w:pPr>
          </w:p>
          <w:p w:rsidR="002A7FDA" w:rsidRPr="004966E3" w:rsidRDefault="002A7FDA" w:rsidP="004966E3">
            <w:pPr>
              <w:rPr>
                <w:sz w:val="20"/>
              </w:rPr>
            </w:pPr>
            <w:r w:rsidRPr="004966E3">
              <w:rPr>
                <w:b/>
                <w:sz w:val="20"/>
                <w:u w:val="single"/>
              </w:rPr>
              <w:t>Level 3 (n = 24 sachets)</w:t>
            </w:r>
          </w:p>
          <w:p w:rsidR="002A7FDA" w:rsidRPr="004966E3" w:rsidRDefault="002A7FDA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  <w:r w:rsidRPr="004966E3">
              <w:rPr>
                <w:sz w:val="20"/>
              </w:rPr>
              <w:t>1 hour</w:t>
            </w:r>
            <w:r w:rsidRPr="004966E3">
              <w:rPr>
                <w:sz w:val="20"/>
              </w:rPr>
              <w:tab/>
              <w:t xml:space="preserve">  18 – 54% LC (Avg.)</w:t>
            </w:r>
          </w:p>
          <w:p w:rsidR="002A7FDA" w:rsidRPr="004966E3" w:rsidRDefault="002A7FDA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  <w:r w:rsidRPr="004966E3">
              <w:rPr>
                <w:sz w:val="20"/>
              </w:rPr>
              <w:tab/>
              <w:t xml:space="preserve">  14 – 58% LC (NLT 22 Units)</w:t>
            </w:r>
          </w:p>
          <w:p w:rsidR="002A7FDA" w:rsidRPr="004966E3" w:rsidRDefault="002A7FDA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  <w:r w:rsidRPr="004966E3">
              <w:rPr>
                <w:sz w:val="20"/>
              </w:rPr>
              <w:tab/>
              <w:t xml:space="preserve">  11 – 61% LC (Individual)</w:t>
            </w:r>
          </w:p>
          <w:p w:rsidR="002A7FDA" w:rsidRPr="004966E3" w:rsidRDefault="002A7FDA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  <w:r w:rsidRPr="004966E3">
              <w:rPr>
                <w:sz w:val="20"/>
              </w:rPr>
              <w:t>2 hours</w:t>
            </w:r>
            <w:r w:rsidRPr="004966E3">
              <w:rPr>
                <w:sz w:val="20"/>
              </w:rPr>
              <w:tab/>
              <w:t xml:space="preserve">  42 – 82% LC (Avg.)</w:t>
            </w:r>
          </w:p>
          <w:p w:rsidR="002A7FDA" w:rsidRPr="004966E3" w:rsidRDefault="002A7FDA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  <w:r w:rsidRPr="004966E3">
              <w:rPr>
                <w:sz w:val="20"/>
              </w:rPr>
              <w:tab/>
              <w:t xml:space="preserve">  36 – 88% LC (NLT 22 Units)</w:t>
            </w:r>
          </w:p>
          <w:p w:rsidR="002A7FDA" w:rsidRPr="004966E3" w:rsidRDefault="002A7FDA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  <w:r w:rsidRPr="004966E3">
              <w:rPr>
                <w:sz w:val="20"/>
              </w:rPr>
              <w:tab/>
              <w:t xml:space="preserve">  30 – 94% LC (Individual)</w:t>
            </w:r>
          </w:p>
          <w:p w:rsidR="002A7FDA" w:rsidRPr="004966E3" w:rsidRDefault="002A7FDA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  <w:r w:rsidRPr="004966E3">
              <w:rPr>
                <w:sz w:val="20"/>
              </w:rPr>
              <w:t>12 hours NLT 80% LC (Avg.)</w:t>
            </w:r>
          </w:p>
          <w:p w:rsidR="002A7FDA" w:rsidRPr="004966E3" w:rsidRDefault="002A7FDA" w:rsidP="004966E3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</w:rPr>
            </w:pPr>
            <w:r w:rsidRPr="004966E3">
              <w:rPr>
                <w:sz w:val="20"/>
              </w:rPr>
              <w:tab/>
              <w:t xml:space="preserve">  NLT 71% LC (NLT 22 Units)</w:t>
            </w:r>
          </w:p>
          <w:p w:rsidR="002A7FDA" w:rsidRPr="004966E3" w:rsidRDefault="002A7FDA" w:rsidP="004966E3">
            <w:pPr>
              <w:rPr>
                <w:sz w:val="20"/>
              </w:rPr>
            </w:pPr>
            <w:r w:rsidRPr="004966E3">
              <w:rPr>
                <w:sz w:val="20"/>
              </w:rPr>
              <w:tab/>
              <w:t xml:space="preserve">  NLT 62% LC (Individual</w:t>
            </w:r>
            <w:r w:rsidR="00C41978">
              <w:rPr>
                <w:sz w:val="20"/>
              </w:rPr>
              <w:t>)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2A7FDA" w:rsidRPr="004966E3" w:rsidRDefault="002A7FDA" w:rsidP="004966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11" w:type="pct"/>
            <w:shd w:val="clear" w:color="auto" w:fill="auto"/>
            <w:vAlign w:val="center"/>
          </w:tcPr>
          <w:p w:rsidR="00D10DCB" w:rsidRPr="00F82380" w:rsidRDefault="0030378D" w:rsidP="00D10DCB">
            <w:pPr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Pr="0030378D">
              <w:rPr>
                <w:i/>
                <w:sz w:val="20"/>
              </w:rPr>
              <w:t>in vitro</w:t>
            </w:r>
            <w:r>
              <w:rPr>
                <w:sz w:val="20"/>
              </w:rPr>
              <w:t xml:space="preserve"> dissolution profile is an important tool for quality control to ensure appropriate dosage is administered consistently and to monitor batch to batch variability. </w:t>
            </w:r>
            <w:r w:rsidR="00D10DCB">
              <w:rPr>
                <w:sz w:val="20"/>
              </w:rPr>
              <w:t>Variability in drug r</w:t>
            </w:r>
            <w:r w:rsidR="00D10DCB" w:rsidRPr="00F82380">
              <w:rPr>
                <w:sz w:val="20"/>
              </w:rPr>
              <w:t xml:space="preserve">elease can affect </w:t>
            </w:r>
            <w:r w:rsidR="00D10DCB">
              <w:rPr>
                <w:sz w:val="20"/>
              </w:rPr>
              <w:t>quality</w:t>
            </w:r>
            <w:r w:rsidR="00D10DCB" w:rsidRPr="00F82380">
              <w:rPr>
                <w:sz w:val="20"/>
              </w:rPr>
              <w:t xml:space="preserve"> of the final product.</w:t>
            </w:r>
          </w:p>
          <w:p w:rsidR="00D10DCB" w:rsidRPr="00F82380" w:rsidRDefault="00D10DCB" w:rsidP="00D10DCB">
            <w:pPr>
              <w:keepNext/>
              <w:keepLines/>
              <w:rPr>
                <w:sz w:val="20"/>
              </w:rPr>
            </w:pPr>
          </w:p>
          <w:p w:rsidR="002A7FDA" w:rsidRPr="00631828" w:rsidRDefault="00D10DCB" w:rsidP="00F66A59">
            <w:pPr>
              <w:rPr>
                <w:sz w:val="20"/>
              </w:rPr>
            </w:pPr>
            <w:r w:rsidRPr="00F82380">
              <w:rPr>
                <w:sz w:val="20"/>
              </w:rPr>
              <w:t>This attribute has a potential to be influenced by the formulation variables.</w:t>
            </w:r>
          </w:p>
        </w:tc>
      </w:tr>
      <w:tr w:rsidR="002A7FDA" w:rsidRPr="004966E3" w:rsidTr="002A7FDA">
        <w:trPr>
          <w:trHeight w:val="288"/>
          <w:jc w:val="center"/>
        </w:trPr>
        <w:tc>
          <w:tcPr>
            <w:tcW w:w="718" w:type="pct"/>
            <w:shd w:val="clear" w:color="auto" w:fill="auto"/>
            <w:vAlign w:val="center"/>
          </w:tcPr>
          <w:p w:rsidR="002A7FDA" w:rsidRPr="004966E3" w:rsidRDefault="002A7FDA" w:rsidP="004966E3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>Weight Loss</w:t>
            </w:r>
          </w:p>
        </w:tc>
        <w:tc>
          <w:tcPr>
            <w:tcW w:w="1643" w:type="pct"/>
            <w:gridSpan w:val="2"/>
            <w:shd w:val="clear" w:color="auto" w:fill="auto"/>
            <w:vAlign w:val="center"/>
          </w:tcPr>
          <w:p w:rsidR="002A7FDA" w:rsidRPr="004966E3" w:rsidRDefault="002A7FDA" w:rsidP="004966E3">
            <w:pPr>
              <w:rPr>
                <w:sz w:val="20"/>
              </w:rPr>
            </w:pPr>
            <w:r w:rsidRPr="004966E3">
              <w:rPr>
                <w:sz w:val="20"/>
              </w:rPr>
              <w:t>Batch Release:  Report weight. (Three sample sets are required for each stability condition under which systems will be staged.)</w:t>
            </w:r>
          </w:p>
          <w:p w:rsidR="002A7FDA" w:rsidRPr="004966E3" w:rsidRDefault="002A7FDA" w:rsidP="004966E3">
            <w:pPr>
              <w:rPr>
                <w:sz w:val="20"/>
              </w:rPr>
            </w:pPr>
            <w:r w:rsidRPr="004966E3">
              <w:rPr>
                <w:sz w:val="20"/>
              </w:rPr>
              <w:t>Stability:  NMT 6.2% weight loss from Batch Release weight.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2A7FDA" w:rsidRPr="00043395" w:rsidRDefault="002A7FDA" w:rsidP="00F01D90">
            <w:pPr>
              <w:widowControl w:val="0"/>
              <w:ind w:left="-123" w:right="-108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Yes*</w:t>
            </w:r>
          </w:p>
        </w:tc>
        <w:tc>
          <w:tcPr>
            <w:tcW w:w="2211" w:type="pct"/>
            <w:shd w:val="clear" w:color="auto" w:fill="auto"/>
            <w:vAlign w:val="center"/>
          </w:tcPr>
          <w:p w:rsidR="002A7FDA" w:rsidRPr="00631828" w:rsidRDefault="002A7FDA" w:rsidP="00F01D90">
            <w:pPr>
              <w:widowControl w:val="0"/>
              <w:rPr>
                <w:rFonts w:eastAsiaTheme="minorEastAsia"/>
                <w:sz w:val="20"/>
              </w:rPr>
            </w:pPr>
            <w:r w:rsidRPr="00631828">
              <w:rPr>
                <w:rFonts w:eastAsiaTheme="minorEastAsia"/>
                <w:sz w:val="20"/>
              </w:rPr>
              <w:t>Weight loss is indicative of issues with Package Integrity.</w:t>
            </w:r>
          </w:p>
          <w:p w:rsidR="002A7FDA" w:rsidRPr="00631828" w:rsidRDefault="002A7FDA" w:rsidP="00F01D90">
            <w:pPr>
              <w:widowControl w:val="0"/>
              <w:rPr>
                <w:rFonts w:eastAsiaTheme="minorEastAsia"/>
                <w:sz w:val="20"/>
              </w:rPr>
            </w:pPr>
          </w:p>
          <w:p w:rsidR="002A7FDA" w:rsidRPr="00631828" w:rsidRDefault="002A7FDA" w:rsidP="00F66A59">
            <w:pPr>
              <w:widowControl w:val="0"/>
              <w:rPr>
                <w:rFonts w:eastAsiaTheme="minorEastAsia"/>
                <w:sz w:val="20"/>
              </w:rPr>
            </w:pPr>
            <w:r w:rsidRPr="00631828">
              <w:rPr>
                <w:rFonts w:eastAsiaTheme="minorEastAsia"/>
                <w:sz w:val="20"/>
              </w:rPr>
              <w:t xml:space="preserve">*Process parameters or formulation variables do not have a direct effect on weight loss.  </w:t>
            </w:r>
            <w:r w:rsidRPr="00631828">
              <w:rPr>
                <w:sz w:val="20"/>
              </w:rPr>
              <w:t xml:space="preserve">Therefore, the CQA will not be investigated and discussed in detail </w:t>
            </w:r>
            <w:r w:rsidR="00F66A59">
              <w:rPr>
                <w:sz w:val="20"/>
              </w:rPr>
              <w:t>in subsequent risk assessments</w:t>
            </w:r>
            <w:r w:rsidRPr="00631828">
              <w:rPr>
                <w:sz w:val="20"/>
              </w:rPr>
              <w:t xml:space="preserve">.  </w:t>
            </w:r>
            <w:r w:rsidR="00F66A59">
              <w:rPr>
                <w:sz w:val="20"/>
              </w:rPr>
              <w:t xml:space="preserve">Please see stage II process validation protocol titled “Performance Qualification of the </w:t>
            </w:r>
            <w:proofErr w:type="spellStart"/>
            <w:r w:rsidR="00F66A59">
              <w:rPr>
                <w:sz w:val="20"/>
              </w:rPr>
              <w:t>Gelnqiue</w:t>
            </w:r>
            <w:proofErr w:type="spellEnd"/>
            <w:r w:rsidR="00F66A59">
              <w:rPr>
                <w:sz w:val="20"/>
              </w:rPr>
              <w:t xml:space="preserve"> 10% (8709) Form/Fill/Seal Manufacturing Process using Alternate Sachet Material Item 208371” (Protocol # </w:t>
            </w:r>
            <w:r w:rsidR="00F66A59" w:rsidRPr="003758A1">
              <w:rPr>
                <w:b/>
                <w:sz w:val="20"/>
              </w:rPr>
              <w:t>M-1229</w:t>
            </w:r>
            <w:r w:rsidR="00F66A59">
              <w:rPr>
                <w:sz w:val="20"/>
              </w:rPr>
              <w:t xml:space="preserve">)  </w:t>
            </w:r>
          </w:p>
        </w:tc>
      </w:tr>
      <w:tr w:rsidR="002A7FDA" w:rsidRPr="004966E3" w:rsidTr="002A7FDA">
        <w:trPr>
          <w:trHeight w:val="288"/>
          <w:jc w:val="center"/>
        </w:trPr>
        <w:tc>
          <w:tcPr>
            <w:tcW w:w="718" w:type="pct"/>
            <w:shd w:val="clear" w:color="auto" w:fill="auto"/>
            <w:vAlign w:val="center"/>
          </w:tcPr>
          <w:p w:rsidR="002A7FDA" w:rsidRPr="004966E3" w:rsidRDefault="002A7FDA" w:rsidP="004966E3">
            <w:pPr>
              <w:jc w:val="center"/>
              <w:rPr>
                <w:sz w:val="20"/>
              </w:rPr>
            </w:pPr>
            <w:r w:rsidRPr="004966E3">
              <w:rPr>
                <w:sz w:val="20"/>
              </w:rPr>
              <w:t>Microbial Limits</w:t>
            </w:r>
          </w:p>
        </w:tc>
        <w:tc>
          <w:tcPr>
            <w:tcW w:w="1643" w:type="pct"/>
            <w:gridSpan w:val="2"/>
            <w:shd w:val="clear" w:color="auto" w:fill="auto"/>
            <w:vAlign w:val="center"/>
          </w:tcPr>
          <w:p w:rsidR="002A7FDA" w:rsidRPr="004966E3" w:rsidRDefault="002A7FDA" w:rsidP="004966E3">
            <w:pPr>
              <w:rPr>
                <w:sz w:val="20"/>
              </w:rPr>
            </w:pPr>
            <w:r w:rsidRPr="004966E3">
              <w:rPr>
                <w:sz w:val="20"/>
              </w:rPr>
              <w:t>Total Aerobic Microbial Count</w:t>
            </w:r>
            <w:r>
              <w:rPr>
                <w:sz w:val="20"/>
              </w:rPr>
              <w:t xml:space="preserve">: NMT 200 </w:t>
            </w:r>
            <w:proofErr w:type="spellStart"/>
            <w:r>
              <w:rPr>
                <w:sz w:val="20"/>
              </w:rPr>
              <w:t>cfu</w:t>
            </w:r>
            <w:proofErr w:type="spellEnd"/>
            <w:r>
              <w:rPr>
                <w:sz w:val="20"/>
              </w:rPr>
              <w:t>/g</w:t>
            </w:r>
          </w:p>
          <w:p w:rsidR="002A7FDA" w:rsidRDefault="002A7FDA" w:rsidP="004966E3">
            <w:pPr>
              <w:rPr>
                <w:sz w:val="20"/>
              </w:rPr>
            </w:pPr>
            <w:r w:rsidRPr="004966E3">
              <w:rPr>
                <w:sz w:val="20"/>
              </w:rPr>
              <w:t>Total Combined Yeasts/Molds Count</w:t>
            </w:r>
            <w:r>
              <w:rPr>
                <w:sz w:val="20"/>
              </w:rPr>
              <w:t xml:space="preserve">: NMT 200 </w:t>
            </w:r>
            <w:proofErr w:type="spellStart"/>
            <w:r>
              <w:rPr>
                <w:sz w:val="20"/>
              </w:rPr>
              <w:t>cfu</w:t>
            </w:r>
            <w:proofErr w:type="spellEnd"/>
            <w:r>
              <w:rPr>
                <w:sz w:val="20"/>
              </w:rPr>
              <w:t>/g</w:t>
            </w:r>
          </w:p>
          <w:p w:rsidR="002A7FDA" w:rsidRPr="004966E3" w:rsidRDefault="002A7FDA" w:rsidP="004966E3">
            <w:pPr>
              <w:rPr>
                <w:sz w:val="20"/>
              </w:rPr>
            </w:pPr>
            <w:r w:rsidRPr="004966E3">
              <w:rPr>
                <w:i/>
                <w:sz w:val="20"/>
              </w:rPr>
              <w:t>Staphylococcus aureus</w:t>
            </w:r>
            <w:r>
              <w:rPr>
                <w:sz w:val="20"/>
              </w:rPr>
              <w:t>: Absent</w:t>
            </w:r>
          </w:p>
          <w:p w:rsidR="002A7FDA" w:rsidRPr="004966E3" w:rsidRDefault="002A7FDA" w:rsidP="004966E3">
            <w:pPr>
              <w:rPr>
                <w:sz w:val="20"/>
              </w:rPr>
            </w:pPr>
            <w:r w:rsidRPr="004966E3">
              <w:rPr>
                <w:i/>
                <w:sz w:val="20"/>
              </w:rPr>
              <w:t>Pseudomonas aeruginosa</w:t>
            </w:r>
            <w:r>
              <w:rPr>
                <w:sz w:val="20"/>
              </w:rPr>
              <w:t>: Absent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2A7FDA" w:rsidRPr="004966E3" w:rsidRDefault="002A7FDA" w:rsidP="004966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11" w:type="pct"/>
            <w:shd w:val="clear" w:color="auto" w:fill="auto"/>
            <w:vAlign w:val="center"/>
          </w:tcPr>
          <w:p w:rsidR="002A7FDA" w:rsidRPr="00631828" w:rsidRDefault="002A7FDA" w:rsidP="002A7FDA">
            <w:pPr>
              <w:rPr>
                <w:sz w:val="20"/>
              </w:rPr>
            </w:pPr>
            <w:r>
              <w:rPr>
                <w:sz w:val="20"/>
              </w:rPr>
              <w:t xml:space="preserve">The microbial limits in an important attribute that will impact drug product quality and patient safety. However, </w:t>
            </w:r>
            <w:proofErr w:type="spellStart"/>
            <w:r>
              <w:rPr>
                <w:sz w:val="20"/>
              </w:rPr>
              <w:t>Gelnique</w:t>
            </w:r>
            <w:proofErr w:type="spellEnd"/>
            <w:r>
              <w:rPr>
                <w:sz w:val="20"/>
              </w:rPr>
              <w:t xml:space="preserve"> 10% is hydro-alcoholic formulation and ethanol in the drug product functions as an anti-microbial agent. In addition, drug product will be tested for micro at batch release. </w:t>
            </w:r>
          </w:p>
        </w:tc>
      </w:tr>
    </w:tbl>
    <w:p w:rsidR="00987B11" w:rsidRPr="00992DC6" w:rsidRDefault="00987B11" w:rsidP="002A6DEC">
      <w:pPr>
        <w:pStyle w:val="Heading1"/>
        <w:ind w:left="0"/>
      </w:pPr>
      <w:bookmarkStart w:id="62" w:name="_Toc405303403"/>
      <w:bookmarkStart w:id="63" w:name="_Toc405196624"/>
      <w:bookmarkStart w:id="64" w:name="_Toc405197937"/>
      <w:bookmarkStart w:id="65" w:name="_Toc405198007"/>
      <w:bookmarkStart w:id="66" w:name="_Toc405198103"/>
      <w:bookmarkStart w:id="67" w:name="_Toc405198139"/>
      <w:bookmarkStart w:id="68" w:name="_Toc405198237"/>
      <w:bookmarkStart w:id="69" w:name="_Toc405199457"/>
      <w:bookmarkStart w:id="70" w:name="_Toc405199514"/>
      <w:bookmarkStart w:id="71" w:name="_Toc405199907"/>
      <w:bookmarkStart w:id="72" w:name="_Toc405199948"/>
      <w:bookmarkStart w:id="73" w:name="_Toc405202979"/>
      <w:bookmarkStart w:id="74" w:name="_Toc405204497"/>
      <w:bookmarkStart w:id="75" w:name="_Toc405303404"/>
      <w:bookmarkStart w:id="76" w:name="_Toc405196625"/>
      <w:bookmarkStart w:id="77" w:name="_Toc405197938"/>
      <w:bookmarkStart w:id="78" w:name="_Toc405198008"/>
      <w:bookmarkStart w:id="79" w:name="_Toc405198104"/>
      <w:bookmarkStart w:id="80" w:name="_Toc405198140"/>
      <w:bookmarkStart w:id="81" w:name="_Toc405198238"/>
      <w:bookmarkStart w:id="82" w:name="_Toc405199458"/>
      <w:bookmarkStart w:id="83" w:name="_Toc405199515"/>
      <w:bookmarkStart w:id="84" w:name="_Toc405199908"/>
      <w:bookmarkStart w:id="85" w:name="_Toc405199949"/>
      <w:bookmarkStart w:id="86" w:name="_Toc405202980"/>
      <w:bookmarkStart w:id="87" w:name="_Toc405204498"/>
      <w:bookmarkStart w:id="88" w:name="_Toc405303405"/>
      <w:bookmarkStart w:id="89" w:name="_Toc467163205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lastRenderedPageBreak/>
        <w:t>Conclusion</w:t>
      </w:r>
      <w:bookmarkEnd w:id="89"/>
    </w:p>
    <w:p w:rsidR="00987B11" w:rsidRDefault="00987B11" w:rsidP="00263292">
      <w:pPr>
        <w:spacing w:after="120" w:line="276" w:lineRule="auto"/>
        <w:rPr>
          <w:sz w:val="24"/>
          <w:szCs w:val="24"/>
        </w:rPr>
      </w:pPr>
      <w:r w:rsidRPr="00C76D9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following critical </w:t>
      </w:r>
      <w:r w:rsidRPr="00C76D9D">
        <w:rPr>
          <w:sz w:val="24"/>
          <w:szCs w:val="24"/>
        </w:rPr>
        <w:t>quality attributes</w:t>
      </w:r>
      <w:r>
        <w:rPr>
          <w:sz w:val="24"/>
          <w:szCs w:val="24"/>
        </w:rPr>
        <w:t xml:space="preserve"> were</w:t>
      </w:r>
      <w:r w:rsidRPr="00C76D9D">
        <w:rPr>
          <w:sz w:val="24"/>
          <w:szCs w:val="24"/>
        </w:rPr>
        <w:t xml:space="preserve"> identified in</w:t>
      </w:r>
      <w:r w:rsidR="00D10DCB">
        <w:rPr>
          <w:sz w:val="24"/>
          <w:szCs w:val="24"/>
        </w:rPr>
        <w:t xml:space="preserve"> </w:t>
      </w:r>
      <w:r w:rsidR="00EE398F" w:rsidRPr="00EE398F">
        <w:rPr>
          <w:b/>
          <w:sz w:val="24"/>
          <w:szCs w:val="24"/>
        </w:rPr>
        <w:fldChar w:fldCharType="begin"/>
      </w:r>
      <w:r w:rsidR="00EE398F" w:rsidRPr="00EE398F">
        <w:rPr>
          <w:b/>
          <w:sz w:val="24"/>
          <w:szCs w:val="24"/>
        </w:rPr>
        <w:instrText xml:space="preserve"> REF _Ref470248386 \h  \* MERGEFORMAT </w:instrText>
      </w:r>
      <w:r w:rsidR="00EE398F" w:rsidRPr="00EE398F">
        <w:rPr>
          <w:b/>
          <w:sz w:val="24"/>
          <w:szCs w:val="24"/>
        </w:rPr>
      </w:r>
      <w:r w:rsidR="00EE398F" w:rsidRPr="00EE398F">
        <w:rPr>
          <w:b/>
          <w:sz w:val="24"/>
          <w:szCs w:val="24"/>
        </w:rPr>
        <w:fldChar w:fldCharType="separate"/>
      </w:r>
      <w:r w:rsidR="00777CDF" w:rsidRPr="00777CDF">
        <w:rPr>
          <w:b/>
          <w:iCs/>
          <w:color w:val="000000"/>
          <w:kern w:val="32"/>
          <w:sz w:val="24"/>
          <w:szCs w:val="24"/>
        </w:rPr>
        <w:t xml:space="preserve">Table </w:t>
      </w:r>
      <w:r w:rsidR="00777CDF" w:rsidRPr="00777CDF">
        <w:rPr>
          <w:b/>
          <w:iCs/>
          <w:noProof/>
          <w:color w:val="000000"/>
          <w:kern w:val="32"/>
          <w:sz w:val="24"/>
          <w:szCs w:val="24"/>
        </w:rPr>
        <w:t>2</w:t>
      </w:r>
      <w:r w:rsidR="00EE398F" w:rsidRPr="00EE398F">
        <w:rPr>
          <w:b/>
          <w:sz w:val="24"/>
          <w:szCs w:val="24"/>
        </w:rPr>
        <w:fldChar w:fldCharType="end"/>
      </w:r>
      <w:r w:rsidRPr="00EE398F">
        <w:rPr>
          <w:b/>
          <w:sz w:val="24"/>
          <w:szCs w:val="24"/>
        </w:rPr>
        <w:t xml:space="preserve"> </w:t>
      </w:r>
      <w:r w:rsidRPr="00EE398F">
        <w:rPr>
          <w:sz w:val="24"/>
          <w:szCs w:val="24"/>
        </w:rPr>
        <w:t>and</w:t>
      </w:r>
      <w:r w:rsidR="00EE398F" w:rsidRPr="00EE398F">
        <w:rPr>
          <w:sz w:val="24"/>
          <w:szCs w:val="24"/>
        </w:rPr>
        <w:t xml:space="preserve"> </w:t>
      </w:r>
      <w:r w:rsidR="00EE398F" w:rsidRPr="00EE398F">
        <w:rPr>
          <w:b/>
          <w:sz w:val="24"/>
          <w:szCs w:val="24"/>
        </w:rPr>
        <w:fldChar w:fldCharType="begin"/>
      </w:r>
      <w:r w:rsidR="00EE398F" w:rsidRPr="00EE398F">
        <w:rPr>
          <w:sz w:val="24"/>
          <w:szCs w:val="24"/>
        </w:rPr>
        <w:instrText xml:space="preserve"> REF _Ref470248409 \h </w:instrText>
      </w:r>
      <w:r w:rsidR="00EE398F" w:rsidRPr="00EE398F">
        <w:rPr>
          <w:b/>
          <w:sz w:val="24"/>
          <w:szCs w:val="24"/>
        </w:rPr>
        <w:instrText xml:space="preserve"> \* MERGEFORMAT </w:instrText>
      </w:r>
      <w:r w:rsidR="00EE398F" w:rsidRPr="00EE398F">
        <w:rPr>
          <w:b/>
          <w:sz w:val="24"/>
          <w:szCs w:val="24"/>
        </w:rPr>
      </w:r>
      <w:r w:rsidR="00EE398F" w:rsidRPr="00EE398F">
        <w:rPr>
          <w:b/>
          <w:sz w:val="24"/>
          <w:szCs w:val="24"/>
        </w:rPr>
        <w:fldChar w:fldCharType="separate"/>
      </w:r>
      <w:r w:rsidR="00777CDF" w:rsidRPr="00777CDF">
        <w:rPr>
          <w:b/>
          <w:sz w:val="24"/>
          <w:szCs w:val="24"/>
        </w:rPr>
        <w:t xml:space="preserve">Table </w:t>
      </w:r>
      <w:r w:rsidR="00777CDF" w:rsidRPr="00777CDF">
        <w:rPr>
          <w:b/>
          <w:noProof/>
          <w:sz w:val="24"/>
          <w:szCs w:val="24"/>
        </w:rPr>
        <w:t>3</w:t>
      </w:r>
      <w:r w:rsidR="00EE398F" w:rsidRPr="00EE398F">
        <w:rPr>
          <w:b/>
          <w:sz w:val="24"/>
          <w:szCs w:val="24"/>
        </w:rPr>
        <w:fldChar w:fldCharType="end"/>
      </w:r>
      <w:r>
        <w:rPr>
          <w:sz w:val="24"/>
          <w:szCs w:val="24"/>
        </w:rPr>
        <w:t xml:space="preserve"> for the </w:t>
      </w:r>
      <w:proofErr w:type="spellStart"/>
      <w:r w:rsidR="00D10DCB">
        <w:rPr>
          <w:sz w:val="24"/>
          <w:szCs w:val="24"/>
        </w:rPr>
        <w:t>Gelnique</w:t>
      </w:r>
      <w:proofErr w:type="spellEnd"/>
      <w:r w:rsidR="00D10DCB">
        <w:rPr>
          <w:sz w:val="24"/>
          <w:szCs w:val="24"/>
        </w:rPr>
        <w:t xml:space="preserve"> 10%.</w:t>
      </w:r>
    </w:p>
    <w:p w:rsidR="00B7546B" w:rsidRDefault="00D10DCB" w:rsidP="00E97F48">
      <w:pPr>
        <w:pStyle w:val="ListParagraph"/>
        <w:numPr>
          <w:ilvl w:val="2"/>
          <w:numId w:val="20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Assay</w:t>
      </w:r>
    </w:p>
    <w:p w:rsidR="00263292" w:rsidRDefault="00D10DCB" w:rsidP="00E97F48">
      <w:pPr>
        <w:pStyle w:val="ListParagraph"/>
        <w:numPr>
          <w:ilvl w:val="2"/>
          <w:numId w:val="20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Minimum Fill</w:t>
      </w:r>
    </w:p>
    <w:p w:rsidR="00D10DCB" w:rsidRDefault="00D10DCB" w:rsidP="00E97F48">
      <w:pPr>
        <w:pStyle w:val="ListParagraph"/>
        <w:numPr>
          <w:ilvl w:val="2"/>
          <w:numId w:val="20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Impurities and degradation product</w:t>
      </w:r>
    </w:p>
    <w:p w:rsidR="00D10DCB" w:rsidRDefault="00D10DCB" w:rsidP="00E97F48">
      <w:pPr>
        <w:pStyle w:val="ListParagraph"/>
        <w:numPr>
          <w:ilvl w:val="2"/>
          <w:numId w:val="20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Ethanol </w:t>
      </w:r>
    </w:p>
    <w:p w:rsidR="00D10DCB" w:rsidRDefault="00D10DCB" w:rsidP="00E97F48">
      <w:pPr>
        <w:pStyle w:val="ListParagraph"/>
        <w:numPr>
          <w:ilvl w:val="2"/>
          <w:numId w:val="20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Drug Release</w:t>
      </w:r>
    </w:p>
    <w:p w:rsidR="000E19C5" w:rsidRDefault="000E19C5" w:rsidP="00021898">
      <w:pPr>
        <w:pStyle w:val="ListParagraph"/>
        <w:ind w:left="1080"/>
        <w:rPr>
          <w:sz w:val="24"/>
          <w:szCs w:val="24"/>
        </w:rPr>
        <w:sectPr w:rsidR="000E19C5" w:rsidSect="00F66A59">
          <w:pgSz w:w="12240" w:h="15840" w:code="1"/>
          <w:pgMar w:top="1440" w:right="1080" w:bottom="1440" w:left="1080" w:header="720" w:footer="720" w:gutter="0"/>
          <w:cols w:space="708"/>
          <w:docGrid w:linePitch="381"/>
        </w:sectPr>
      </w:pPr>
    </w:p>
    <w:p w:rsidR="00021898" w:rsidRDefault="00021898" w:rsidP="00021898">
      <w:pPr>
        <w:pStyle w:val="ListParagraph"/>
        <w:ind w:left="1080"/>
        <w:rPr>
          <w:sz w:val="24"/>
          <w:szCs w:val="24"/>
        </w:rPr>
      </w:pPr>
    </w:p>
    <w:p w:rsidR="00992DC6" w:rsidRPr="00992DC6" w:rsidRDefault="00874A04" w:rsidP="002A6DEC">
      <w:pPr>
        <w:pStyle w:val="Heading1"/>
        <w:ind w:left="0"/>
      </w:pPr>
      <w:bookmarkStart w:id="90" w:name="_Toc412031443"/>
      <w:bookmarkStart w:id="91" w:name="_Toc412118252"/>
      <w:bookmarkStart w:id="92" w:name="_Toc417999283"/>
      <w:bookmarkStart w:id="93" w:name="_Toc417999414"/>
      <w:bookmarkStart w:id="94" w:name="_Toc467163206"/>
      <w:r w:rsidRPr="006D4E75">
        <w:t>References</w:t>
      </w:r>
      <w:bookmarkEnd w:id="90"/>
      <w:bookmarkEnd w:id="91"/>
      <w:bookmarkEnd w:id="92"/>
      <w:bookmarkEnd w:id="93"/>
      <w:bookmarkEnd w:id="9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21"/>
        <w:gridCol w:w="5794"/>
        <w:gridCol w:w="2095"/>
      </w:tblGrid>
      <w:tr w:rsidR="00476D44" w:rsidTr="00F66A59">
        <w:trPr>
          <w:tblHeader/>
          <w:jc w:val="center"/>
        </w:trPr>
        <w:tc>
          <w:tcPr>
            <w:tcW w:w="1174" w:type="pct"/>
            <w:shd w:val="clear" w:color="auto" w:fill="auto"/>
            <w:vAlign w:val="center"/>
          </w:tcPr>
          <w:p w:rsidR="00476D44" w:rsidRPr="00901A4A" w:rsidRDefault="00476D44" w:rsidP="00F60A2B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Document Type</w:t>
            </w:r>
          </w:p>
        </w:tc>
        <w:tc>
          <w:tcPr>
            <w:tcW w:w="2810" w:type="pct"/>
            <w:shd w:val="clear" w:color="auto" w:fill="auto"/>
            <w:vAlign w:val="center"/>
          </w:tcPr>
          <w:p w:rsidR="00476D44" w:rsidRPr="00901A4A" w:rsidRDefault="00476D44" w:rsidP="00F60A2B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Document Name</w:t>
            </w:r>
          </w:p>
        </w:tc>
        <w:tc>
          <w:tcPr>
            <w:tcW w:w="1016" w:type="pct"/>
            <w:shd w:val="clear" w:color="auto" w:fill="auto"/>
            <w:vAlign w:val="center"/>
          </w:tcPr>
          <w:p w:rsidR="00476D44" w:rsidRPr="00901A4A" w:rsidRDefault="00F66A59" w:rsidP="00F60A2B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Document Number</w:t>
            </w:r>
          </w:p>
        </w:tc>
      </w:tr>
      <w:tr w:rsidR="00476D44" w:rsidTr="00476D44">
        <w:trPr>
          <w:tblHeader/>
          <w:jc w:val="center"/>
        </w:trPr>
        <w:tc>
          <w:tcPr>
            <w:tcW w:w="1174" w:type="pct"/>
            <w:vMerge w:val="restart"/>
            <w:shd w:val="clear" w:color="auto" w:fill="auto"/>
            <w:vAlign w:val="center"/>
          </w:tcPr>
          <w:p w:rsidR="00476D44" w:rsidRDefault="00476D44" w:rsidP="00F60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Test Method</w:t>
            </w:r>
          </w:p>
        </w:tc>
        <w:tc>
          <w:tcPr>
            <w:tcW w:w="2810" w:type="pct"/>
            <w:shd w:val="clear" w:color="auto" w:fill="auto"/>
            <w:vAlign w:val="center"/>
          </w:tcPr>
          <w:p w:rsidR="00476D44" w:rsidRDefault="000F4F5E" w:rsidP="006D4E75">
            <w:pPr>
              <w:rPr>
                <w:sz w:val="20"/>
              </w:rPr>
            </w:pPr>
            <w:r>
              <w:rPr>
                <w:sz w:val="20"/>
              </w:rPr>
              <w:t>Testing of Oxybutynin Chloride Gel, 100 mg/g Mix</w:t>
            </w:r>
          </w:p>
        </w:tc>
        <w:tc>
          <w:tcPr>
            <w:tcW w:w="1016" w:type="pct"/>
            <w:shd w:val="clear" w:color="auto" w:fill="auto"/>
            <w:vAlign w:val="center"/>
          </w:tcPr>
          <w:p w:rsidR="00476D44" w:rsidRDefault="000F4F5E" w:rsidP="00F60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TM414</w:t>
            </w:r>
          </w:p>
        </w:tc>
      </w:tr>
      <w:tr w:rsidR="00476D44" w:rsidTr="00476D44">
        <w:trPr>
          <w:tblHeader/>
          <w:jc w:val="center"/>
        </w:trPr>
        <w:tc>
          <w:tcPr>
            <w:tcW w:w="1174" w:type="pct"/>
            <w:vMerge/>
            <w:shd w:val="clear" w:color="auto" w:fill="auto"/>
            <w:vAlign w:val="center"/>
          </w:tcPr>
          <w:p w:rsidR="00476D44" w:rsidRPr="00011166" w:rsidRDefault="00476D44" w:rsidP="00F60A2B">
            <w:pPr>
              <w:jc w:val="center"/>
              <w:rPr>
                <w:sz w:val="20"/>
              </w:rPr>
            </w:pPr>
          </w:p>
        </w:tc>
        <w:tc>
          <w:tcPr>
            <w:tcW w:w="2810" w:type="pct"/>
            <w:shd w:val="clear" w:color="auto" w:fill="auto"/>
            <w:vAlign w:val="center"/>
          </w:tcPr>
          <w:p w:rsidR="00476D44" w:rsidRPr="00011166" w:rsidRDefault="00FE23D1" w:rsidP="000F4F5E">
            <w:pPr>
              <w:rPr>
                <w:sz w:val="20"/>
              </w:rPr>
            </w:pPr>
            <w:r>
              <w:rPr>
                <w:sz w:val="20"/>
              </w:rPr>
              <w:t>Testing of 10% Oxybutynin Chloride Gel and Oxybutynin Chloride Placebo Gel</w:t>
            </w:r>
          </w:p>
        </w:tc>
        <w:tc>
          <w:tcPr>
            <w:tcW w:w="1016" w:type="pct"/>
            <w:shd w:val="clear" w:color="auto" w:fill="auto"/>
            <w:vAlign w:val="center"/>
          </w:tcPr>
          <w:p w:rsidR="00476D44" w:rsidRPr="00011166" w:rsidRDefault="000F4F5E" w:rsidP="00F60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TM923</w:t>
            </w:r>
          </w:p>
        </w:tc>
      </w:tr>
      <w:tr w:rsidR="00476D44" w:rsidTr="00476D44">
        <w:trPr>
          <w:tblHeader/>
          <w:jc w:val="center"/>
        </w:trPr>
        <w:tc>
          <w:tcPr>
            <w:tcW w:w="1174" w:type="pct"/>
            <w:vMerge w:val="restart"/>
            <w:shd w:val="clear" w:color="auto" w:fill="auto"/>
            <w:vAlign w:val="center"/>
          </w:tcPr>
          <w:p w:rsidR="00476D44" w:rsidRPr="00011166" w:rsidRDefault="00476D44" w:rsidP="00F60A2B">
            <w:pPr>
              <w:jc w:val="center"/>
              <w:rPr>
                <w:sz w:val="20"/>
              </w:rPr>
            </w:pPr>
            <w:r w:rsidRPr="00011166">
              <w:rPr>
                <w:sz w:val="20"/>
              </w:rPr>
              <w:t>Material Specification</w:t>
            </w:r>
          </w:p>
        </w:tc>
        <w:tc>
          <w:tcPr>
            <w:tcW w:w="2810" w:type="pct"/>
            <w:shd w:val="clear" w:color="auto" w:fill="auto"/>
            <w:vAlign w:val="center"/>
          </w:tcPr>
          <w:p w:rsidR="00476D44" w:rsidRPr="00011166" w:rsidRDefault="000F4F5E" w:rsidP="006D4E75">
            <w:pPr>
              <w:rPr>
                <w:sz w:val="20"/>
              </w:rPr>
            </w:pPr>
            <w:r>
              <w:rPr>
                <w:sz w:val="20"/>
              </w:rPr>
              <w:t>Oxybutynin Chloride Gel, 100 mg/g</w:t>
            </w:r>
          </w:p>
        </w:tc>
        <w:tc>
          <w:tcPr>
            <w:tcW w:w="1016" w:type="pct"/>
            <w:shd w:val="clear" w:color="auto" w:fill="auto"/>
            <w:vAlign w:val="center"/>
          </w:tcPr>
          <w:p w:rsidR="00476D44" w:rsidRPr="00011166" w:rsidRDefault="000F4F5E" w:rsidP="00F60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175547</w:t>
            </w:r>
          </w:p>
        </w:tc>
      </w:tr>
      <w:tr w:rsidR="00476D44" w:rsidTr="00476D44">
        <w:trPr>
          <w:tblHeader/>
          <w:jc w:val="center"/>
        </w:trPr>
        <w:tc>
          <w:tcPr>
            <w:tcW w:w="1174" w:type="pct"/>
            <w:vMerge/>
            <w:shd w:val="clear" w:color="auto" w:fill="auto"/>
            <w:vAlign w:val="center"/>
          </w:tcPr>
          <w:p w:rsidR="00476D44" w:rsidRPr="00011166" w:rsidRDefault="00476D44" w:rsidP="00F60A2B">
            <w:pPr>
              <w:jc w:val="center"/>
              <w:rPr>
                <w:sz w:val="20"/>
              </w:rPr>
            </w:pPr>
          </w:p>
        </w:tc>
        <w:tc>
          <w:tcPr>
            <w:tcW w:w="2810" w:type="pct"/>
            <w:shd w:val="clear" w:color="auto" w:fill="auto"/>
            <w:vAlign w:val="center"/>
          </w:tcPr>
          <w:p w:rsidR="00476D44" w:rsidRPr="00011166" w:rsidRDefault="000F4F5E" w:rsidP="0004359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Gelnique</w:t>
            </w:r>
            <w:proofErr w:type="spellEnd"/>
            <w:r>
              <w:rPr>
                <w:sz w:val="20"/>
              </w:rPr>
              <w:t xml:space="preserve"> Oxybutynin Chloride Gel, 10% , </w:t>
            </w:r>
            <w:proofErr w:type="spellStart"/>
            <w:r>
              <w:rPr>
                <w:sz w:val="20"/>
              </w:rPr>
              <w:t>Ctn</w:t>
            </w:r>
            <w:proofErr w:type="spellEnd"/>
            <w:r>
              <w:rPr>
                <w:sz w:val="20"/>
              </w:rPr>
              <w:t xml:space="preserve"> x 30 (US)</w:t>
            </w:r>
          </w:p>
        </w:tc>
        <w:tc>
          <w:tcPr>
            <w:tcW w:w="1016" w:type="pct"/>
            <w:shd w:val="clear" w:color="auto" w:fill="auto"/>
            <w:vAlign w:val="center"/>
          </w:tcPr>
          <w:p w:rsidR="00476D44" w:rsidRPr="00011166" w:rsidRDefault="000F4F5E" w:rsidP="00F60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52544008430</w:t>
            </w:r>
          </w:p>
        </w:tc>
      </w:tr>
      <w:tr w:rsidR="00476D44" w:rsidTr="00476D44">
        <w:trPr>
          <w:tblHeader/>
          <w:jc w:val="center"/>
        </w:trPr>
        <w:tc>
          <w:tcPr>
            <w:tcW w:w="1174" w:type="pct"/>
            <w:vMerge/>
            <w:shd w:val="clear" w:color="auto" w:fill="auto"/>
            <w:vAlign w:val="center"/>
          </w:tcPr>
          <w:p w:rsidR="00476D44" w:rsidRPr="00011166" w:rsidRDefault="00476D44" w:rsidP="00F60A2B">
            <w:pPr>
              <w:jc w:val="center"/>
              <w:rPr>
                <w:sz w:val="20"/>
              </w:rPr>
            </w:pPr>
          </w:p>
        </w:tc>
        <w:tc>
          <w:tcPr>
            <w:tcW w:w="2810" w:type="pct"/>
            <w:shd w:val="clear" w:color="auto" w:fill="auto"/>
            <w:vAlign w:val="center"/>
          </w:tcPr>
          <w:p w:rsidR="00476D44" w:rsidRPr="00011166" w:rsidRDefault="000F4F5E" w:rsidP="009A4FE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Gelnique</w:t>
            </w:r>
            <w:proofErr w:type="spellEnd"/>
            <w:r>
              <w:rPr>
                <w:sz w:val="20"/>
              </w:rPr>
              <w:t xml:space="preserve"> Oxybutynin</w:t>
            </w:r>
            <w:r w:rsidR="009A4FED">
              <w:rPr>
                <w:sz w:val="20"/>
              </w:rPr>
              <w:t xml:space="preserve"> Chloride Gel, 10% , </w:t>
            </w:r>
            <w:proofErr w:type="spellStart"/>
            <w:r w:rsidR="009A4FED">
              <w:rPr>
                <w:sz w:val="20"/>
              </w:rPr>
              <w:t>Ctn</w:t>
            </w:r>
            <w:proofErr w:type="spellEnd"/>
            <w:r w:rsidR="009A4FED">
              <w:rPr>
                <w:sz w:val="20"/>
              </w:rPr>
              <w:t xml:space="preserve"> x 30 (Canada</w:t>
            </w:r>
            <w:r>
              <w:rPr>
                <w:sz w:val="20"/>
              </w:rPr>
              <w:t>)</w:t>
            </w:r>
          </w:p>
        </w:tc>
        <w:tc>
          <w:tcPr>
            <w:tcW w:w="1016" w:type="pct"/>
            <w:shd w:val="clear" w:color="auto" w:fill="auto"/>
            <w:vAlign w:val="center"/>
          </w:tcPr>
          <w:p w:rsidR="00476D44" w:rsidRPr="00011166" w:rsidRDefault="000F4F5E" w:rsidP="00F60A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74028708430</w:t>
            </w:r>
          </w:p>
        </w:tc>
      </w:tr>
    </w:tbl>
    <w:p w:rsidR="006D4E75" w:rsidRDefault="006D4E75" w:rsidP="006D4E75"/>
    <w:p w:rsidR="006D4E75" w:rsidRPr="006D4E75" w:rsidRDefault="006D4E75" w:rsidP="006D4E75">
      <w:bookmarkStart w:id="95" w:name="_GoBack"/>
      <w:bookmarkEnd w:id="95"/>
    </w:p>
    <w:sectPr w:rsidR="006D4E75" w:rsidRPr="006D4E75" w:rsidSect="00F66A59">
      <w:pgSz w:w="12240" w:h="15840" w:code="1"/>
      <w:pgMar w:top="1440" w:right="1080" w:bottom="1440" w:left="1080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870" w:rsidRDefault="00632870" w:rsidP="002A2A4B">
      <w:r>
        <w:separator/>
      </w:r>
    </w:p>
  </w:endnote>
  <w:endnote w:type="continuationSeparator" w:id="0">
    <w:p w:rsidR="00632870" w:rsidRDefault="00632870" w:rsidP="002A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70" w:rsidRDefault="00632870" w:rsidP="004D1E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:rsidR="00632870" w:rsidRDefault="00632870" w:rsidP="004D1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70" w:rsidRPr="001932C7" w:rsidRDefault="00632870" w:rsidP="004D1ECD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70" w:rsidRDefault="00632870" w:rsidP="004D1ECD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777CDF">
      <w:rPr>
        <w:b/>
        <w:noProof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870" w:rsidRDefault="00632870" w:rsidP="002A2A4B">
      <w:r>
        <w:separator/>
      </w:r>
    </w:p>
  </w:footnote>
  <w:footnote w:type="continuationSeparator" w:id="0">
    <w:p w:rsidR="00632870" w:rsidRDefault="00632870" w:rsidP="002A2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  <w:tblLook w:val="04A0" w:firstRow="1" w:lastRow="0" w:firstColumn="1" w:lastColumn="0" w:noHBand="0" w:noVBand="1"/>
    </w:tblPr>
    <w:tblGrid>
      <w:gridCol w:w="1960"/>
      <w:gridCol w:w="7096"/>
      <w:gridCol w:w="1745"/>
    </w:tblGrid>
    <w:tr w:rsidR="00632870" w:rsidRPr="0020300F" w:rsidTr="00855FD7">
      <w:trPr>
        <w:trHeight w:val="1008"/>
        <w:jc w:val="center"/>
      </w:trPr>
      <w:tc>
        <w:tcPr>
          <w:tcW w:w="90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</w:tcPr>
        <w:p w:rsidR="00632870" w:rsidRDefault="00632870" w:rsidP="00A34D25">
          <w:pPr>
            <w:tabs>
              <w:tab w:val="left" w:pos="1064"/>
            </w:tabs>
            <w:spacing w:before="120"/>
            <w:rPr>
              <w:noProof/>
            </w:rPr>
          </w:pPr>
          <w:r>
            <w:object w:dxaOrig="4680" w:dyaOrig="25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48.75pt" o:ole="" o:allowoverlap="f">
                <v:imagedata r:id="rId1" o:title=""/>
              </v:shape>
              <o:OLEObject Type="Embed" ProgID="PBrush" ShapeID="_x0000_i1025" DrawAspect="Content" ObjectID="_1552725677" r:id="rId2"/>
            </w:object>
          </w:r>
        </w:p>
      </w:tc>
      <w:tc>
        <w:tcPr>
          <w:tcW w:w="3288" w:type="pct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632870" w:rsidRPr="00DE778A" w:rsidRDefault="00632870" w:rsidP="001B2048">
          <w:pPr>
            <w:jc w:val="center"/>
            <w:rPr>
              <w:rFonts w:ascii="Times New Roman Bold" w:hAnsi="Times New Roman Bold"/>
              <w:b/>
              <w:bCs/>
              <w:spacing w:val="-3"/>
              <w:sz w:val="24"/>
              <w:szCs w:val="22"/>
            </w:rPr>
          </w:pPr>
          <w:proofErr w:type="spellStart"/>
          <w:r w:rsidRPr="00DE778A">
            <w:rPr>
              <w:rFonts w:ascii="Times New Roman Bold" w:hAnsi="Times New Roman Bold"/>
              <w:b/>
              <w:bCs/>
              <w:spacing w:val="-3"/>
              <w:sz w:val="24"/>
              <w:szCs w:val="22"/>
            </w:rPr>
            <w:t>Gelnique</w:t>
          </w:r>
          <w:proofErr w:type="spellEnd"/>
          <w:r w:rsidRPr="00DE778A">
            <w:rPr>
              <w:rFonts w:ascii="Times New Roman Bold" w:hAnsi="Times New Roman Bold"/>
              <w:b/>
              <w:bCs/>
              <w:spacing w:val="-3"/>
              <w:sz w:val="24"/>
              <w:szCs w:val="22"/>
            </w:rPr>
            <w:t xml:space="preserve"> </w:t>
          </w:r>
          <w:r>
            <w:rPr>
              <w:rFonts w:ascii="Times New Roman Bold" w:hAnsi="Times New Roman Bold"/>
              <w:b/>
              <w:bCs/>
              <w:spacing w:val="-3"/>
              <w:sz w:val="24"/>
              <w:szCs w:val="22"/>
            </w:rPr>
            <w:t>10% (8709) Sachets</w:t>
          </w:r>
        </w:p>
        <w:p w:rsidR="00632870" w:rsidRPr="001B2048" w:rsidRDefault="00632870" w:rsidP="001B2048">
          <w:pPr>
            <w:jc w:val="center"/>
            <w:rPr>
              <w:rFonts w:ascii="Times New Roman Bold" w:hAnsi="Times New Roman Bold"/>
              <w:b/>
              <w:bCs/>
              <w:spacing w:val="-3"/>
              <w:sz w:val="24"/>
              <w:szCs w:val="22"/>
            </w:rPr>
          </w:pPr>
          <w:r w:rsidRPr="007415CA">
            <w:rPr>
              <w:rFonts w:ascii="Times New Roman Bold" w:hAnsi="Times New Roman Bold"/>
              <w:b/>
              <w:bCs/>
              <w:spacing w:val="-3"/>
              <w:sz w:val="24"/>
              <w:szCs w:val="22"/>
            </w:rPr>
            <w:t>Product Risk Assessment &amp; Control Strategy (PRACS)</w:t>
          </w:r>
        </w:p>
        <w:p w:rsidR="00632870" w:rsidRPr="001B2048" w:rsidRDefault="00632870" w:rsidP="001B2048">
          <w:pPr>
            <w:spacing w:before="120" w:after="120"/>
            <w:jc w:val="center"/>
            <w:rPr>
              <w:rFonts w:ascii="Times New Roman Bold" w:hAnsi="Times New Roman Bold"/>
              <w:b/>
              <w:bCs/>
              <w:spacing w:val="-3"/>
              <w:sz w:val="24"/>
              <w:szCs w:val="22"/>
            </w:rPr>
          </w:pPr>
          <w:r w:rsidRPr="001B2048">
            <w:rPr>
              <w:rFonts w:ascii="Times New Roman Bold" w:hAnsi="Times New Roman Bold"/>
              <w:b/>
              <w:bCs/>
              <w:spacing w:val="-3"/>
              <w:sz w:val="24"/>
              <w:szCs w:val="22"/>
            </w:rPr>
            <w:t>Risk Assessment # QRM-0047-15  Rev. 00</w:t>
          </w:r>
        </w:p>
      </w:tc>
      <w:tc>
        <w:tcPr>
          <w:tcW w:w="811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32870" w:rsidRDefault="00632870" w:rsidP="00390EE3">
          <w:pPr>
            <w:tabs>
              <w:tab w:val="left" w:pos="1064"/>
            </w:tabs>
            <w:spacing w:before="120"/>
            <w:jc w:val="center"/>
            <w:rPr>
              <w:noProof/>
            </w:rPr>
          </w:pPr>
          <w:r w:rsidRPr="00390EE3">
            <w:rPr>
              <w:rFonts w:ascii="Times New Roman Bold" w:hAnsi="Times New Roman Bold"/>
              <w:b/>
              <w:sz w:val="20"/>
              <w:szCs w:val="16"/>
            </w:rPr>
            <w:t xml:space="preserve">Page </w:t>
          </w:r>
          <w:r w:rsidRPr="00390EE3">
            <w:rPr>
              <w:rFonts w:ascii="Times New Roman Bold" w:hAnsi="Times New Roman Bold"/>
              <w:b/>
              <w:sz w:val="20"/>
              <w:szCs w:val="16"/>
            </w:rPr>
            <w:fldChar w:fldCharType="begin"/>
          </w:r>
          <w:r w:rsidRPr="00390EE3">
            <w:rPr>
              <w:rFonts w:ascii="Times New Roman Bold" w:hAnsi="Times New Roman Bold"/>
              <w:b/>
              <w:sz w:val="20"/>
              <w:szCs w:val="16"/>
            </w:rPr>
            <w:instrText xml:space="preserve"> PAGE  \* Arabic  \* MERGEFORMAT </w:instrText>
          </w:r>
          <w:r w:rsidRPr="00390EE3">
            <w:rPr>
              <w:rFonts w:ascii="Times New Roman Bold" w:hAnsi="Times New Roman Bold"/>
              <w:b/>
              <w:sz w:val="20"/>
              <w:szCs w:val="16"/>
            </w:rPr>
            <w:fldChar w:fldCharType="separate"/>
          </w:r>
          <w:r w:rsidR="00777CDF">
            <w:rPr>
              <w:rFonts w:ascii="Times New Roman Bold" w:hAnsi="Times New Roman Bold"/>
              <w:b/>
              <w:noProof/>
              <w:sz w:val="20"/>
              <w:szCs w:val="16"/>
            </w:rPr>
            <w:t>7</w:t>
          </w:r>
          <w:r w:rsidRPr="00390EE3">
            <w:rPr>
              <w:rFonts w:ascii="Times New Roman Bold" w:hAnsi="Times New Roman Bold"/>
              <w:b/>
              <w:sz w:val="20"/>
              <w:szCs w:val="16"/>
            </w:rPr>
            <w:fldChar w:fldCharType="end"/>
          </w:r>
          <w:r w:rsidRPr="00390EE3">
            <w:rPr>
              <w:rFonts w:ascii="Times New Roman Bold" w:hAnsi="Times New Roman Bold"/>
              <w:b/>
              <w:sz w:val="20"/>
              <w:szCs w:val="16"/>
            </w:rPr>
            <w:t xml:space="preserve"> of </w:t>
          </w:r>
          <w:r w:rsidRPr="00390EE3">
            <w:rPr>
              <w:rFonts w:ascii="Times New Roman Bold" w:hAnsi="Times New Roman Bold"/>
              <w:b/>
              <w:sz w:val="20"/>
              <w:szCs w:val="16"/>
            </w:rPr>
            <w:fldChar w:fldCharType="begin"/>
          </w:r>
          <w:r w:rsidRPr="00390EE3">
            <w:rPr>
              <w:rFonts w:ascii="Times New Roman Bold" w:hAnsi="Times New Roman Bold"/>
              <w:b/>
              <w:sz w:val="20"/>
              <w:szCs w:val="16"/>
            </w:rPr>
            <w:instrText xml:space="preserve"> NUMPAGES  \* Arabic  \* MERGEFORMAT </w:instrText>
          </w:r>
          <w:r w:rsidRPr="00390EE3">
            <w:rPr>
              <w:rFonts w:ascii="Times New Roman Bold" w:hAnsi="Times New Roman Bold"/>
              <w:b/>
              <w:sz w:val="20"/>
              <w:szCs w:val="16"/>
            </w:rPr>
            <w:fldChar w:fldCharType="separate"/>
          </w:r>
          <w:r w:rsidR="00777CDF">
            <w:rPr>
              <w:rFonts w:ascii="Times New Roman Bold" w:hAnsi="Times New Roman Bold"/>
              <w:b/>
              <w:noProof/>
              <w:sz w:val="20"/>
              <w:szCs w:val="16"/>
            </w:rPr>
            <w:t>7</w:t>
          </w:r>
          <w:r w:rsidRPr="00390EE3">
            <w:rPr>
              <w:rFonts w:ascii="Times New Roman Bold" w:hAnsi="Times New Roman Bold"/>
              <w:b/>
              <w:sz w:val="20"/>
              <w:szCs w:val="16"/>
            </w:rPr>
            <w:fldChar w:fldCharType="end"/>
          </w:r>
        </w:p>
      </w:tc>
    </w:tr>
    <w:tr w:rsidR="00632870" w:rsidRPr="0020300F" w:rsidTr="00855FD7">
      <w:trPr>
        <w:trHeight w:val="432"/>
        <w:jc w:val="center"/>
      </w:trPr>
      <w:tc>
        <w:tcPr>
          <w:tcW w:w="5000" w:type="pct"/>
          <w:gridSpan w:val="3"/>
          <w:shd w:val="clear" w:color="auto" w:fill="auto"/>
          <w:vAlign w:val="center"/>
        </w:tcPr>
        <w:p w:rsidR="00632870" w:rsidRPr="00390EE3" w:rsidRDefault="00632870" w:rsidP="00A34D25">
          <w:pPr>
            <w:jc w:val="center"/>
            <w:rPr>
              <w:rFonts w:ascii="Times New Roman Bold" w:hAnsi="Times New Roman Bold"/>
              <w:b/>
              <w:sz w:val="20"/>
              <w:szCs w:val="24"/>
            </w:rPr>
          </w:pPr>
          <w:r w:rsidRPr="007415CA">
            <w:rPr>
              <w:rFonts w:ascii="Times New Roman Bold" w:hAnsi="Times New Roman Bold"/>
              <w:b/>
              <w:sz w:val="22"/>
              <w:szCs w:val="24"/>
            </w:rPr>
            <w:t xml:space="preserve">ATTACHMENT 2 - </w:t>
          </w:r>
          <w:r w:rsidRPr="007415CA">
            <w:rPr>
              <w:rFonts w:ascii="Times New Roman Bold" w:hAnsi="Times New Roman Bold"/>
              <w:b/>
              <w:bCs/>
              <w:spacing w:val="-3"/>
              <w:sz w:val="22"/>
              <w:szCs w:val="24"/>
            </w:rPr>
            <w:t>Quality</w:t>
          </w:r>
          <w:r>
            <w:rPr>
              <w:rFonts w:ascii="Times New Roman Bold" w:hAnsi="Times New Roman Bold"/>
              <w:b/>
              <w:bCs/>
              <w:spacing w:val="-3"/>
              <w:sz w:val="22"/>
              <w:szCs w:val="24"/>
            </w:rPr>
            <w:t xml:space="preserve"> Target Product Profile (QTPP) a</w:t>
          </w:r>
          <w:r w:rsidRPr="007415CA">
            <w:rPr>
              <w:rFonts w:ascii="Times New Roman Bold" w:hAnsi="Times New Roman Bold"/>
              <w:b/>
              <w:bCs/>
              <w:spacing w:val="-3"/>
              <w:sz w:val="22"/>
              <w:szCs w:val="24"/>
            </w:rPr>
            <w:t>nd Critical Quality Attributes (CQAs)</w:t>
          </w:r>
        </w:p>
      </w:tc>
    </w:tr>
  </w:tbl>
  <w:p w:rsidR="00632870" w:rsidRPr="00094618" w:rsidRDefault="00632870" w:rsidP="004D1ECD">
    <w:pPr>
      <w:pStyle w:val="Header"/>
      <w:rPr>
        <w:rFonts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98"/>
      <w:gridCol w:w="3672"/>
      <w:gridCol w:w="4026"/>
    </w:tblGrid>
    <w:tr w:rsidR="00632870" w:rsidRPr="00666EAC" w:rsidTr="00666EAC">
      <w:trPr>
        <w:trHeight w:val="983"/>
      </w:trPr>
      <w:tc>
        <w:tcPr>
          <w:tcW w:w="1262" w:type="pct"/>
          <w:vMerge w:val="restart"/>
          <w:shd w:val="clear" w:color="auto" w:fill="auto"/>
          <w:vAlign w:val="center"/>
        </w:tcPr>
        <w:p w:rsidR="00632870" w:rsidRPr="00666EAC" w:rsidRDefault="00632870" w:rsidP="00666EAC">
          <w:pPr>
            <w:tabs>
              <w:tab w:val="left" w:pos="72"/>
              <w:tab w:val="left" w:pos="1064"/>
            </w:tabs>
            <w:jc w:val="center"/>
          </w:pPr>
          <w:r w:rsidRPr="00666EAC">
            <w:object w:dxaOrig="4680" w:dyaOrig="25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16.25pt;height:63pt" o:ole="">
                <v:imagedata r:id="rId1" o:title=""/>
              </v:shape>
              <o:OLEObject Type="Embed" ProgID="PBrush" ShapeID="_x0000_i1026" DrawAspect="Content" ObjectID="_1552725678" r:id="rId2"/>
            </w:object>
          </w:r>
        </w:p>
      </w:tc>
      <w:tc>
        <w:tcPr>
          <w:tcW w:w="1783" w:type="pct"/>
          <w:vMerge w:val="restart"/>
          <w:shd w:val="clear" w:color="auto" w:fill="auto"/>
          <w:vAlign w:val="center"/>
        </w:tcPr>
        <w:p w:rsidR="00632870" w:rsidRPr="00666EAC" w:rsidRDefault="00632870" w:rsidP="00666EAC">
          <w:pPr>
            <w:tabs>
              <w:tab w:val="left" w:pos="72"/>
              <w:tab w:val="left" w:pos="1064"/>
            </w:tabs>
            <w:jc w:val="center"/>
            <w:rPr>
              <w:rFonts w:ascii="Times New Roman Bold" w:hAnsi="Times New Roman Bold"/>
              <w:b/>
              <w:bCs/>
              <w:caps/>
              <w:spacing w:val="-3"/>
              <w:sz w:val="20"/>
              <w:szCs w:val="28"/>
              <w:vertAlign w:val="superscript"/>
            </w:rPr>
          </w:pPr>
          <w:r w:rsidRPr="00666EAC">
            <w:rPr>
              <w:rFonts w:ascii="Times New Roman Bold" w:hAnsi="Times New Roman Bold"/>
              <w:b/>
              <w:bCs/>
              <w:spacing w:val="-3"/>
              <w:sz w:val="20"/>
              <w:szCs w:val="24"/>
            </w:rPr>
            <w:t xml:space="preserve">Product Risk Assessment &amp; Control Strategy </w:t>
          </w:r>
          <w:r w:rsidRPr="00666EAC">
            <w:rPr>
              <w:rFonts w:ascii="Times New Roman Bold" w:hAnsi="Times New Roman Bold"/>
              <w:b/>
              <w:bCs/>
              <w:caps/>
              <w:spacing w:val="-3"/>
              <w:sz w:val="20"/>
              <w:szCs w:val="24"/>
            </w:rPr>
            <w:t>(PRACS)</w:t>
          </w:r>
          <w:r w:rsidRPr="00666EAC">
            <w:rPr>
              <w:rFonts w:ascii="Times New Roman Bold" w:hAnsi="Times New Roman Bold"/>
              <w:b/>
              <w:bCs/>
              <w:caps/>
              <w:spacing w:val="-3"/>
              <w:sz w:val="20"/>
              <w:szCs w:val="28"/>
            </w:rPr>
            <w:t>:</w:t>
          </w:r>
          <w:r w:rsidRPr="00666EAC">
            <w:rPr>
              <w:rFonts w:ascii="Times New Roman Bold" w:hAnsi="Times New Roman Bold"/>
              <w:b/>
              <w:bCs/>
              <w:caps/>
              <w:spacing w:val="-3"/>
              <w:sz w:val="20"/>
              <w:szCs w:val="28"/>
              <w:vertAlign w:val="superscript"/>
            </w:rPr>
            <w:t xml:space="preserve"> </w:t>
          </w:r>
        </w:p>
        <w:p w:rsidR="00632870" w:rsidRPr="00666EAC" w:rsidRDefault="00632870" w:rsidP="00666EAC">
          <w:pPr>
            <w:tabs>
              <w:tab w:val="left" w:pos="72"/>
              <w:tab w:val="left" w:pos="1064"/>
            </w:tabs>
            <w:jc w:val="center"/>
            <w:rPr>
              <w:rFonts w:ascii="Times New Roman Bold" w:hAnsi="Times New Roman Bold"/>
              <w:b/>
              <w:bCs/>
              <w:caps/>
              <w:spacing w:val="-3"/>
              <w:sz w:val="20"/>
              <w:szCs w:val="28"/>
            </w:rPr>
          </w:pPr>
        </w:p>
        <w:p w:rsidR="00632870" w:rsidRPr="00666EAC" w:rsidRDefault="00632870" w:rsidP="00666EAC">
          <w:pPr>
            <w:jc w:val="center"/>
          </w:pPr>
          <w:r w:rsidRPr="00666EAC">
            <w:rPr>
              <w:rFonts w:ascii="Times New Roman Bold" w:hAnsi="Times New Roman Bold"/>
              <w:b/>
              <w:bCs/>
              <w:spacing w:val="-3"/>
              <w:sz w:val="20"/>
              <w:szCs w:val="28"/>
            </w:rPr>
            <w:t>Fentanyl LRS</w:t>
          </w:r>
        </w:p>
      </w:tc>
      <w:tc>
        <w:tcPr>
          <w:tcW w:w="1955" w:type="pct"/>
          <w:shd w:val="clear" w:color="auto" w:fill="auto"/>
          <w:vAlign w:val="center"/>
        </w:tcPr>
        <w:p w:rsidR="00632870" w:rsidRPr="00666EAC" w:rsidRDefault="00632870" w:rsidP="00666EAC">
          <w:pPr>
            <w:jc w:val="center"/>
            <w:rPr>
              <w:rFonts w:ascii="Times New Roman Bold" w:hAnsi="Times New Roman Bold"/>
              <w:b/>
              <w:caps/>
              <w:sz w:val="20"/>
              <w:szCs w:val="24"/>
            </w:rPr>
          </w:pPr>
          <w:r w:rsidRPr="00666EAC">
            <w:rPr>
              <w:rFonts w:ascii="Times New Roman Bold" w:hAnsi="Times New Roman Bold"/>
              <w:b/>
              <w:bCs/>
              <w:caps/>
              <w:spacing w:val="-3"/>
              <w:sz w:val="20"/>
              <w:szCs w:val="24"/>
            </w:rPr>
            <w:t>R</w:t>
          </w:r>
          <w:r w:rsidRPr="00666EAC">
            <w:rPr>
              <w:rFonts w:ascii="Times New Roman Bold" w:hAnsi="Times New Roman Bold"/>
              <w:b/>
              <w:bCs/>
              <w:spacing w:val="-3"/>
              <w:sz w:val="20"/>
              <w:szCs w:val="24"/>
            </w:rPr>
            <w:t>isk</w:t>
          </w:r>
          <w:r w:rsidRPr="00666EAC">
            <w:rPr>
              <w:rFonts w:ascii="Times New Roman Bold" w:hAnsi="Times New Roman Bold"/>
              <w:b/>
              <w:bCs/>
              <w:caps/>
              <w:spacing w:val="-3"/>
              <w:sz w:val="20"/>
              <w:szCs w:val="24"/>
            </w:rPr>
            <w:t xml:space="preserve"> A</w:t>
          </w:r>
          <w:r w:rsidRPr="00666EAC">
            <w:rPr>
              <w:rFonts w:ascii="Times New Roman Bold" w:hAnsi="Times New Roman Bold"/>
              <w:b/>
              <w:bCs/>
              <w:spacing w:val="-3"/>
              <w:sz w:val="20"/>
              <w:szCs w:val="24"/>
            </w:rPr>
            <w:t>ssessment</w:t>
          </w:r>
          <w:r w:rsidRPr="00666EAC">
            <w:rPr>
              <w:rFonts w:ascii="Times New Roman Bold" w:hAnsi="Times New Roman Bold"/>
              <w:b/>
              <w:bCs/>
              <w:caps/>
              <w:spacing w:val="-3"/>
              <w:sz w:val="20"/>
              <w:szCs w:val="24"/>
            </w:rPr>
            <w:t xml:space="preserve"> # QRM-00XX-XX</w:t>
          </w:r>
        </w:p>
        <w:p w:rsidR="00632870" w:rsidRPr="00666EAC" w:rsidRDefault="00632870" w:rsidP="00666EAC">
          <w:pPr>
            <w:jc w:val="center"/>
            <w:rPr>
              <w:rFonts w:ascii="Times New Roman Bold" w:hAnsi="Times New Roman Bold"/>
              <w:caps/>
              <w:sz w:val="20"/>
              <w:szCs w:val="24"/>
            </w:rPr>
          </w:pPr>
          <w:r w:rsidRPr="00666EAC">
            <w:rPr>
              <w:rFonts w:ascii="Times New Roman Bold" w:hAnsi="Times New Roman Bold"/>
              <w:b/>
              <w:bCs/>
              <w:caps/>
              <w:spacing w:val="-3"/>
              <w:sz w:val="20"/>
              <w:szCs w:val="24"/>
            </w:rPr>
            <w:t>V</w:t>
          </w:r>
          <w:r w:rsidRPr="00666EAC">
            <w:rPr>
              <w:rFonts w:ascii="Times New Roman Bold" w:hAnsi="Times New Roman Bold"/>
              <w:b/>
              <w:bCs/>
              <w:spacing w:val="-3"/>
              <w:sz w:val="20"/>
              <w:szCs w:val="24"/>
            </w:rPr>
            <w:t>ersion</w:t>
          </w:r>
          <w:r w:rsidRPr="00666EAC">
            <w:rPr>
              <w:rFonts w:ascii="Times New Roman Bold" w:hAnsi="Times New Roman Bold"/>
              <w:b/>
              <w:bCs/>
              <w:caps/>
              <w:spacing w:val="-3"/>
              <w:sz w:val="20"/>
              <w:szCs w:val="24"/>
            </w:rPr>
            <w:t xml:space="preserve"> # 00</w:t>
          </w:r>
        </w:p>
      </w:tc>
    </w:tr>
    <w:tr w:rsidR="00632870" w:rsidRPr="00666EAC" w:rsidTr="00666EAC">
      <w:trPr>
        <w:trHeight w:val="353"/>
      </w:trPr>
      <w:tc>
        <w:tcPr>
          <w:tcW w:w="1262" w:type="pct"/>
          <w:vMerge/>
          <w:shd w:val="clear" w:color="auto" w:fill="auto"/>
        </w:tcPr>
        <w:p w:rsidR="00632870" w:rsidRPr="00666EAC" w:rsidRDefault="00632870" w:rsidP="00666EAC">
          <w:pPr>
            <w:tabs>
              <w:tab w:val="left" w:pos="72"/>
              <w:tab w:val="left" w:pos="1064"/>
            </w:tabs>
            <w:jc w:val="center"/>
          </w:pPr>
        </w:p>
      </w:tc>
      <w:tc>
        <w:tcPr>
          <w:tcW w:w="1783" w:type="pct"/>
          <w:vMerge/>
          <w:shd w:val="clear" w:color="auto" w:fill="auto"/>
          <w:vAlign w:val="center"/>
        </w:tcPr>
        <w:p w:rsidR="00632870" w:rsidRPr="00666EAC" w:rsidRDefault="00632870" w:rsidP="00666EAC">
          <w:pPr>
            <w:tabs>
              <w:tab w:val="left" w:pos="72"/>
              <w:tab w:val="left" w:pos="1064"/>
            </w:tabs>
            <w:jc w:val="center"/>
            <w:rPr>
              <w:rFonts w:ascii="Times New Roman Bold" w:hAnsi="Times New Roman Bold"/>
              <w:b/>
              <w:bCs/>
              <w:caps/>
              <w:spacing w:val="-3"/>
              <w:sz w:val="20"/>
              <w:szCs w:val="24"/>
            </w:rPr>
          </w:pPr>
        </w:p>
      </w:tc>
      <w:tc>
        <w:tcPr>
          <w:tcW w:w="1955" w:type="pct"/>
          <w:shd w:val="clear" w:color="auto" w:fill="auto"/>
          <w:vAlign w:val="center"/>
        </w:tcPr>
        <w:p w:rsidR="00632870" w:rsidRPr="00666EAC" w:rsidRDefault="00632870" w:rsidP="00666EAC">
          <w:pPr>
            <w:spacing w:before="120" w:after="120"/>
            <w:jc w:val="center"/>
            <w:rPr>
              <w:rFonts w:ascii="Times New Roman Bold" w:hAnsi="Times New Roman Bold"/>
              <w:b/>
              <w:caps/>
              <w:sz w:val="20"/>
              <w:szCs w:val="24"/>
            </w:rPr>
          </w:pPr>
          <w:r w:rsidRPr="00666EAC">
            <w:rPr>
              <w:rFonts w:ascii="Times New Roman Bold" w:hAnsi="Times New Roman Bold"/>
              <w:b/>
              <w:bCs/>
              <w:spacing w:val="-3"/>
              <w:sz w:val="20"/>
              <w:szCs w:val="24"/>
            </w:rPr>
            <w:t>Quality Target Product Profile (QTPP) And Critical Quality Attributes (CQAs)</w:t>
          </w:r>
        </w:p>
      </w:tc>
    </w:tr>
    <w:tr w:rsidR="00632870" w:rsidRPr="00666EAC" w:rsidTr="00666EAC">
      <w:trPr>
        <w:trHeight w:val="503"/>
      </w:trPr>
      <w:tc>
        <w:tcPr>
          <w:tcW w:w="3045" w:type="pct"/>
          <w:gridSpan w:val="2"/>
          <w:shd w:val="clear" w:color="auto" w:fill="auto"/>
          <w:vAlign w:val="center"/>
        </w:tcPr>
        <w:p w:rsidR="00632870" w:rsidRPr="00666EAC" w:rsidRDefault="00632870" w:rsidP="00666EAC">
          <w:pPr>
            <w:rPr>
              <w:rFonts w:ascii="Times New Roman Bold" w:hAnsi="Times New Roman Bold"/>
              <w:b/>
              <w:caps/>
              <w:sz w:val="20"/>
              <w:szCs w:val="24"/>
            </w:rPr>
          </w:pPr>
          <w:r w:rsidRPr="00666EAC">
            <w:rPr>
              <w:rFonts w:ascii="Times New Roman Bold" w:hAnsi="Times New Roman Bold"/>
              <w:b/>
              <w:bCs/>
              <w:caps/>
              <w:spacing w:val="-3"/>
              <w:sz w:val="20"/>
              <w:szCs w:val="24"/>
            </w:rPr>
            <w:t xml:space="preserve">Description: </w:t>
          </w:r>
          <w:r w:rsidRPr="00666EAC">
            <w:rPr>
              <w:rFonts w:ascii="Times New Roman Bold" w:hAnsi="Times New Roman Bold"/>
              <w:b/>
              <w:sz w:val="20"/>
              <w:szCs w:val="24"/>
            </w:rPr>
            <w:t xml:space="preserve">Fentanyl Liquid </w:t>
          </w:r>
          <w:proofErr w:type="spellStart"/>
          <w:r w:rsidRPr="00666EAC">
            <w:rPr>
              <w:rFonts w:ascii="Times New Roman Bold" w:hAnsi="Times New Roman Bold"/>
              <w:b/>
              <w:sz w:val="20"/>
              <w:szCs w:val="24"/>
            </w:rPr>
            <w:t>Reservior</w:t>
          </w:r>
          <w:proofErr w:type="spellEnd"/>
          <w:r w:rsidRPr="00666EAC">
            <w:rPr>
              <w:rFonts w:ascii="Times New Roman Bold" w:hAnsi="Times New Roman Bold"/>
              <w:b/>
              <w:sz w:val="20"/>
              <w:szCs w:val="24"/>
            </w:rPr>
            <w:t xml:space="preserve"> System</w:t>
          </w:r>
        </w:p>
      </w:tc>
      <w:tc>
        <w:tcPr>
          <w:tcW w:w="1955" w:type="pct"/>
          <w:shd w:val="clear" w:color="auto" w:fill="auto"/>
          <w:vAlign w:val="center"/>
        </w:tcPr>
        <w:p w:rsidR="00632870" w:rsidRPr="00666EAC" w:rsidRDefault="00632870" w:rsidP="00666EAC">
          <w:pPr>
            <w:tabs>
              <w:tab w:val="center" w:pos="4536"/>
              <w:tab w:val="right" w:pos="9072"/>
            </w:tabs>
            <w:ind w:right="-106"/>
            <w:jc w:val="center"/>
            <w:rPr>
              <w:rFonts w:ascii="Times New Roman Bold" w:hAnsi="Times New Roman Bold"/>
              <w:b/>
              <w:caps/>
              <w:sz w:val="20"/>
              <w:szCs w:val="24"/>
              <w:lang w:eastAsia="x-none"/>
            </w:rPr>
          </w:pPr>
          <w:r w:rsidRPr="00666EAC">
            <w:rPr>
              <w:rFonts w:ascii="Times New Roman Bold" w:hAnsi="Times New Roman Bold"/>
              <w:b/>
              <w:caps/>
              <w:sz w:val="20"/>
              <w:szCs w:val="24"/>
              <w:lang w:eastAsia="x-none"/>
            </w:rPr>
            <w:t>A</w:t>
          </w:r>
          <w:r w:rsidRPr="00666EAC">
            <w:rPr>
              <w:rFonts w:ascii="Times New Roman Bold" w:hAnsi="Times New Roman Bold"/>
              <w:b/>
              <w:sz w:val="20"/>
              <w:szCs w:val="24"/>
              <w:lang w:eastAsia="x-none"/>
            </w:rPr>
            <w:t>ttachment</w:t>
          </w:r>
          <w:r w:rsidRPr="00666EAC">
            <w:rPr>
              <w:rFonts w:ascii="Times New Roman Bold" w:hAnsi="Times New Roman Bold"/>
              <w:b/>
              <w:caps/>
              <w:sz w:val="20"/>
              <w:szCs w:val="24"/>
              <w:lang w:eastAsia="x-none"/>
            </w:rPr>
            <w:t># 2</w:t>
          </w:r>
        </w:p>
      </w:tc>
    </w:tr>
    <w:tr w:rsidR="00632870" w:rsidRPr="00666EAC" w:rsidTr="00666EAC">
      <w:trPr>
        <w:trHeight w:val="480"/>
      </w:trPr>
      <w:tc>
        <w:tcPr>
          <w:tcW w:w="3045" w:type="pct"/>
          <w:gridSpan w:val="2"/>
          <w:shd w:val="clear" w:color="auto" w:fill="auto"/>
          <w:vAlign w:val="center"/>
        </w:tcPr>
        <w:p w:rsidR="00632870" w:rsidRPr="00666EAC" w:rsidRDefault="00632870" w:rsidP="00666EAC">
          <w:pPr>
            <w:rPr>
              <w:rFonts w:ascii="Times New Roman Bold" w:hAnsi="Times New Roman Bold"/>
              <w:b/>
              <w:caps/>
              <w:sz w:val="20"/>
              <w:szCs w:val="24"/>
            </w:rPr>
          </w:pPr>
          <w:r w:rsidRPr="00666EAC">
            <w:rPr>
              <w:rFonts w:ascii="Times New Roman Bold" w:hAnsi="Times New Roman Bold"/>
              <w:b/>
              <w:caps/>
              <w:sz w:val="20"/>
              <w:szCs w:val="24"/>
            </w:rPr>
            <w:t xml:space="preserve">Strengths: </w:t>
          </w:r>
          <w:r w:rsidRPr="00666EAC">
            <w:rPr>
              <w:rFonts w:ascii="Times New Roman Bold" w:hAnsi="Times New Roman Bold"/>
              <w:b/>
              <w:caps/>
              <w:sz w:val="20"/>
            </w:rPr>
            <w:t xml:space="preserve">25 </w:t>
          </w:r>
          <w:r w:rsidRPr="00666EAC">
            <w:rPr>
              <w:rFonts w:ascii="Times New Roman Bold" w:hAnsi="Times New Roman Bold"/>
              <w:b/>
              <w:bCs/>
              <w:spacing w:val="-3"/>
              <w:sz w:val="20"/>
            </w:rPr>
            <w:t xml:space="preserve">mcg/h, 50 mcg/h, </w:t>
          </w:r>
          <w:r w:rsidRPr="00666EAC">
            <w:rPr>
              <w:rFonts w:ascii="Times New Roman Bold" w:hAnsi="Times New Roman Bold"/>
              <w:b/>
              <w:sz w:val="20"/>
            </w:rPr>
            <w:t xml:space="preserve">75 </w:t>
          </w:r>
          <w:r w:rsidRPr="00666EAC">
            <w:rPr>
              <w:rFonts w:ascii="Times New Roman Bold" w:hAnsi="Times New Roman Bold"/>
              <w:b/>
              <w:bCs/>
              <w:spacing w:val="-3"/>
              <w:sz w:val="20"/>
            </w:rPr>
            <w:t>mcg/h &amp; 100 mcg/h</w:t>
          </w:r>
        </w:p>
      </w:tc>
      <w:tc>
        <w:tcPr>
          <w:tcW w:w="1955" w:type="pct"/>
          <w:shd w:val="clear" w:color="auto" w:fill="auto"/>
          <w:vAlign w:val="center"/>
        </w:tcPr>
        <w:p w:rsidR="00632870" w:rsidRPr="00666EAC" w:rsidRDefault="00632870" w:rsidP="00666EAC">
          <w:pPr>
            <w:tabs>
              <w:tab w:val="center" w:pos="4536"/>
              <w:tab w:val="right" w:pos="9072"/>
            </w:tabs>
            <w:ind w:right="-106"/>
            <w:jc w:val="center"/>
            <w:rPr>
              <w:rFonts w:ascii="Times New Roman Bold" w:hAnsi="Times New Roman Bold"/>
              <w:b/>
              <w:caps/>
              <w:sz w:val="20"/>
              <w:szCs w:val="16"/>
              <w:lang w:eastAsia="x-none"/>
            </w:rPr>
          </w:pPr>
          <w:r w:rsidRPr="00666EAC">
            <w:rPr>
              <w:rFonts w:ascii="Times New Roman Bold" w:hAnsi="Times New Roman Bold"/>
              <w:b/>
              <w:caps/>
              <w:sz w:val="20"/>
              <w:szCs w:val="16"/>
              <w:lang w:eastAsia="x-none"/>
            </w:rPr>
            <w:t>P</w:t>
          </w:r>
          <w:r w:rsidRPr="00666EAC">
            <w:rPr>
              <w:rFonts w:ascii="Times New Roman Bold" w:hAnsi="Times New Roman Bold"/>
              <w:b/>
              <w:sz w:val="20"/>
              <w:szCs w:val="16"/>
              <w:lang w:eastAsia="x-none"/>
            </w:rPr>
            <w:t>age</w:t>
          </w:r>
          <w:r w:rsidRPr="00666EAC">
            <w:rPr>
              <w:rFonts w:ascii="Times New Roman Bold" w:hAnsi="Times New Roman Bold"/>
              <w:b/>
              <w:caps/>
              <w:sz w:val="20"/>
              <w:szCs w:val="16"/>
              <w:lang w:eastAsia="x-none"/>
            </w:rPr>
            <w:t xml:space="preserve"> </w:t>
          </w:r>
          <w:r w:rsidRPr="00666EAC">
            <w:rPr>
              <w:rFonts w:ascii="Times New Roman Bold" w:hAnsi="Times New Roman Bold"/>
              <w:b/>
              <w:caps/>
              <w:sz w:val="20"/>
              <w:szCs w:val="16"/>
              <w:lang w:eastAsia="x-none"/>
            </w:rPr>
            <w:fldChar w:fldCharType="begin"/>
          </w:r>
          <w:r w:rsidRPr="00666EAC">
            <w:rPr>
              <w:rFonts w:ascii="Times New Roman Bold" w:hAnsi="Times New Roman Bold"/>
              <w:b/>
              <w:caps/>
              <w:sz w:val="20"/>
              <w:szCs w:val="16"/>
              <w:lang w:eastAsia="x-none"/>
            </w:rPr>
            <w:instrText xml:space="preserve"> PAGE  \* Arabic  \* MERGEFORMAT </w:instrText>
          </w:r>
          <w:r w:rsidRPr="00666EAC">
            <w:rPr>
              <w:rFonts w:ascii="Times New Roman Bold" w:hAnsi="Times New Roman Bold"/>
              <w:b/>
              <w:caps/>
              <w:sz w:val="20"/>
              <w:szCs w:val="16"/>
              <w:lang w:eastAsia="x-none"/>
            </w:rPr>
            <w:fldChar w:fldCharType="separate"/>
          </w:r>
          <w:r>
            <w:rPr>
              <w:rFonts w:ascii="Times New Roman Bold" w:hAnsi="Times New Roman Bold"/>
              <w:b/>
              <w:caps/>
              <w:noProof/>
              <w:sz w:val="20"/>
              <w:szCs w:val="16"/>
              <w:lang w:eastAsia="x-none"/>
            </w:rPr>
            <w:t>13</w:t>
          </w:r>
          <w:r w:rsidRPr="00666EAC">
            <w:rPr>
              <w:rFonts w:ascii="Times New Roman Bold" w:hAnsi="Times New Roman Bold"/>
              <w:b/>
              <w:caps/>
              <w:sz w:val="20"/>
              <w:szCs w:val="16"/>
              <w:lang w:eastAsia="x-none"/>
            </w:rPr>
            <w:fldChar w:fldCharType="end"/>
          </w:r>
          <w:r w:rsidRPr="00666EAC">
            <w:rPr>
              <w:rFonts w:ascii="Times New Roman Bold" w:hAnsi="Times New Roman Bold"/>
              <w:b/>
              <w:caps/>
              <w:sz w:val="20"/>
              <w:szCs w:val="16"/>
              <w:lang w:eastAsia="x-none"/>
            </w:rPr>
            <w:t xml:space="preserve"> </w:t>
          </w:r>
          <w:r w:rsidRPr="00666EAC">
            <w:rPr>
              <w:rFonts w:ascii="Times New Roman Bold" w:hAnsi="Times New Roman Bold"/>
              <w:b/>
              <w:sz w:val="20"/>
              <w:szCs w:val="16"/>
              <w:lang w:eastAsia="x-none"/>
            </w:rPr>
            <w:t>of</w:t>
          </w:r>
          <w:r w:rsidRPr="00666EAC">
            <w:rPr>
              <w:rFonts w:ascii="Times New Roman Bold" w:hAnsi="Times New Roman Bold"/>
              <w:b/>
              <w:caps/>
              <w:sz w:val="20"/>
              <w:szCs w:val="16"/>
              <w:lang w:eastAsia="x-none"/>
            </w:rPr>
            <w:t xml:space="preserve"> </w:t>
          </w:r>
          <w:r w:rsidRPr="00666EAC">
            <w:rPr>
              <w:rFonts w:ascii="Times New Roman Bold" w:hAnsi="Times New Roman Bold"/>
              <w:b/>
              <w:caps/>
              <w:sz w:val="20"/>
              <w:szCs w:val="16"/>
              <w:lang w:eastAsia="x-none"/>
            </w:rPr>
            <w:fldChar w:fldCharType="begin"/>
          </w:r>
          <w:r w:rsidRPr="00666EAC">
            <w:rPr>
              <w:rFonts w:ascii="Times New Roman Bold" w:hAnsi="Times New Roman Bold"/>
              <w:b/>
              <w:caps/>
              <w:sz w:val="20"/>
              <w:szCs w:val="16"/>
              <w:lang w:eastAsia="x-none"/>
            </w:rPr>
            <w:instrText xml:space="preserve"> NUMPAGES  \* Arabic  \* MERGEFORMAT </w:instrText>
          </w:r>
          <w:r w:rsidRPr="00666EAC">
            <w:rPr>
              <w:rFonts w:ascii="Times New Roman Bold" w:hAnsi="Times New Roman Bold"/>
              <w:b/>
              <w:caps/>
              <w:sz w:val="20"/>
              <w:szCs w:val="16"/>
              <w:lang w:eastAsia="x-none"/>
            </w:rPr>
            <w:fldChar w:fldCharType="separate"/>
          </w:r>
          <w:r w:rsidR="00777CDF">
            <w:rPr>
              <w:rFonts w:ascii="Times New Roman Bold" w:hAnsi="Times New Roman Bold"/>
              <w:b/>
              <w:caps/>
              <w:noProof/>
              <w:sz w:val="20"/>
              <w:szCs w:val="16"/>
              <w:lang w:eastAsia="x-none"/>
            </w:rPr>
            <w:t>7</w:t>
          </w:r>
          <w:r w:rsidRPr="00666EAC">
            <w:rPr>
              <w:rFonts w:ascii="Times New Roman Bold" w:hAnsi="Times New Roman Bold"/>
              <w:b/>
              <w:caps/>
              <w:sz w:val="20"/>
              <w:szCs w:val="16"/>
              <w:lang w:eastAsia="x-none"/>
            </w:rPr>
            <w:fldChar w:fldCharType="end"/>
          </w:r>
        </w:p>
      </w:tc>
    </w:tr>
  </w:tbl>
  <w:p w:rsidR="00632870" w:rsidRPr="00D854A1" w:rsidRDefault="00632870" w:rsidP="004D1ECD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29DC"/>
    <w:multiLevelType w:val="hybridMultilevel"/>
    <w:tmpl w:val="43D2524E"/>
    <w:lvl w:ilvl="0" w:tplc="F54611CE">
      <w:start w:val="1"/>
      <w:numFmt w:val="lowerRoman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6AC1901"/>
    <w:multiLevelType w:val="multilevel"/>
    <w:tmpl w:val="D24EB36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98A1622"/>
    <w:multiLevelType w:val="multilevel"/>
    <w:tmpl w:val="3DE04DF0"/>
    <w:lvl w:ilvl="0">
      <w:start w:val="1"/>
      <w:numFmt w:val="decimal"/>
      <w:pStyle w:val="Heading1"/>
      <w:lvlText w:val="%1."/>
      <w:lvlJc w:val="left"/>
      <w:pPr>
        <w:ind w:left="450" w:hanging="360"/>
      </w:p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3">
    <w:nsid w:val="0C845E40"/>
    <w:multiLevelType w:val="hybridMultilevel"/>
    <w:tmpl w:val="399A5A34"/>
    <w:lvl w:ilvl="0" w:tplc="25DA973C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F1D6D"/>
    <w:multiLevelType w:val="hybridMultilevel"/>
    <w:tmpl w:val="1A0A7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DC569C"/>
    <w:multiLevelType w:val="multilevel"/>
    <w:tmpl w:val="7D5225F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E6C07FD"/>
    <w:multiLevelType w:val="hybridMultilevel"/>
    <w:tmpl w:val="0EF66260"/>
    <w:lvl w:ilvl="0" w:tplc="8FE496E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954F60"/>
    <w:multiLevelType w:val="multilevel"/>
    <w:tmpl w:val="9FD06384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8DA2532"/>
    <w:multiLevelType w:val="multilevel"/>
    <w:tmpl w:val="5E7AEB36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9">
    <w:nsid w:val="1A737713"/>
    <w:multiLevelType w:val="hybridMultilevel"/>
    <w:tmpl w:val="BFA6CDAC"/>
    <w:lvl w:ilvl="0" w:tplc="D7B852C8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75AB3"/>
    <w:multiLevelType w:val="multilevel"/>
    <w:tmpl w:val="6868BC9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C3E02BD"/>
    <w:multiLevelType w:val="multilevel"/>
    <w:tmpl w:val="802A366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C2C15E6"/>
    <w:multiLevelType w:val="hybridMultilevel"/>
    <w:tmpl w:val="7A86F064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50800FA8"/>
    <w:multiLevelType w:val="hybridMultilevel"/>
    <w:tmpl w:val="B9F46232"/>
    <w:lvl w:ilvl="0" w:tplc="86366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7377E1"/>
    <w:multiLevelType w:val="hybridMultilevel"/>
    <w:tmpl w:val="4896F1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682327"/>
    <w:multiLevelType w:val="multilevel"/>
    <w:tmpl w:val="D54EBF42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-"/>
      <w:lvlJc w:val="left"/>
      <w:pPr>
        <w:ind w:left="99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-%3."/>
      <w:lvlJc w:val="left"/>
      <w:pPr>
        <w:ind w:left="108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-%3.%4."/>
      <w:lvlJc w:val="left"/>
      <w:pPr>
        <w:ind w:left="162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-%3.%4.%5."/>
      <w:lvlJc w:val="left"/>
      <w:pPr>
        <w:ind w:left="180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-%3.%4.%5.%6."/>
      <w:lvlJc w:val="left"/>
      <w:pPr>
        <w:ind w:left="23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-%3.%4.%5.%6.%7."/>
      <w:lvlJc w:val="left"/>
      <w:pPr>
        <w:ind w:left="2880" w:hanging="1800"/>
      </w:pPr>
      <w:rPr>
        <w:rFonts w:hint="default"/>
        <w:b w:val="0"/>
        <w:sz w:val="24"/>
      </w:rPr>
    </w:lvl>
    <w:lvl w:ilvl="7">
      <w:start w:val="1"/>
      <w:numFmt w:val="decimal"/>
      <w:lvlText w:val="%1.%2-%3.%4.%5.%6.%7.%8."/>
      <w:lvlJc w:val="left"/>
      <w:pPr>
        <w:ind w:left="306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-%3.%4.%5.%6.%7.%8.%9."/>
      <w:lvlJc w:val="left"/>
      <w:pPr>
        <w:ind w:left="3600" w:hanging="2160"/>
      </w:pPr>
      <w:rPr>
        <w:rFonts w:hint="default"/>
        <w:b w:val="0"/>
        <w:sz w:val="24"/>
      </w:rPr>
    </w:lvl>
  </w:abstractNum>
  <w:abstractNum w:abstractNumId="16">
    <w:nsid w:val="632D7C01"/>
    <w:multiLevelType w:val="multilevel"/>
    <w:tmpl w:val="1D40A47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65044CF"/>
    <w:multiLevelType w:val="hybridMultilevel"/>
    <w:tmpl w:val="DA72D2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FE57C0"/>
    <w:multiLevelType w:val="hybridMultilevel"/>
    <w:tmpl w:val="10BC3B54"/>
    <w:lvl w:ilvl="0" w:tplc="83AA7A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7640425E"/>
    <w:multiLevelType w:val="hybridMultilevel"/>
    <w:tmpl w:val="6EC05534"/>
    <w:lvl w:ilvl="0" w:tplc="25DA973C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765932"/>
    <w:multiLevelType w:val="hybridMultilevel"/>
    <w:tmpl w:val="23AE42C4"/>
    <w:lvl w:ilvl="0" w:tplc="83AA7A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51FFB"/>
    <w:multiLevelType w:val="hybridMultilevel"/>
    <w:tmpl w:val="3738DB1E"/>
    <w:lvl w:ilvl="0" w:tplc="83445040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19"/>
  </w:num>
  <w:num w:numId="5">
    <w:abstractNumId w:val="5"/>
  </w:num>
  <w:num w:numId="6">
    <w:abstractNumId w:val="21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  <w:num w:numId="11">
    <w:abstractNumId w:val="17"/>
  </w:num>
  <w:num w:numId="12">
    <w:abstractNumId w:val="14"/>
  </w:num>
  <w:num w:numId="13">
    <w:abstractNumId w:val="12"/>
  </w:num>
  <w:num w:numId="14">
    <w:abstractNumId w:val="2"/>
  </w:num>
  <w:num w:numId="15">
    <w:abstractNumId w:val="2"/>
  </w:num>
  <w:num w:numId="16">
    <w:abstractNumId w:val="7"/>
  </w:num>
  <w:num w:numId="17">
    <w:abstractNumId w:val="13"/>
  </w:num>
  <w:num w:numId="18">
    <w:abstractNumId w:val="18"/>
  </w:num>
  <w:num w:numId="19">
    <w:abstractNumId w:val="20"/>
  </w:num>
  <w:num w:numId="20">
    <w:abstractNumId w:val="8"/>
  </w:num>
  <w:num w:numId="21">
    <w:abstractNumId w:val="11"/>
  </w:num>
  <w:num w:numId="22">
    <w:abstractNumId w:val="16"/>
  </w:num>
  <w:num w:numId="23">
    <w:abstractNumId w:val="10"/>
  </w:num>
  <w:num w:numId="24">
    <w:abstractNumId w:val="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hdrShapeDefaults>
    <o:shapedefaults v:ext="edit" spidmax="3277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2FB"/>
    <w:rsid w:val="00011166"/>
    <w:rsid w:val="00017545"/>
    <w:rsid w:val="00021898"/>
    <w:rsid w:val="00043599"/>
    <w:rsid w:val="00043996"/>
    <w:rsid w:val="0006621B"/>
    <w:rsid w:val="0007036F"/>
    <w:rsid w:val="00092E95"/>
    <w:rsid w:val="00094618"/>
    <w:rsid w:val="000953B0"/>
    <w:rsid w:val="000A137D"/>
    <w:rsid w:val="000A7443"/>
    <w:rsid w:val="000B529B"/>
    <w:rsid w:val="000B79D1"/>
    <w:rsid w:val="000C7330"/>
    <w:rsid w:val="000C790B"/>
    <w:rsid w:val="000D3C29"/>
    <w:rsid w:val="000E19C5"/>
    <w:rsid w:val="000E46CD"/>
    <w:rsid w:val="000E696B"/>
    <w:rsid w:val="000E7437"/>
    <w:rsid w:val="000F241E"/>
    <w:rsid w:val="000F4F5E"/>
    <w:rsid w:val="000F625B"/>
    <w:rsid w:val="0010125C"/>
    <w:rsid w:val="00102114"/>
    <w:rsid w:val="001118E9"/>
    <w:rsid w:val="00113FD0"/>
    <w:rsid w:val="00114FB3"/>
    <w:rsid w:val="00130AF6"/>
    <w:rsid w:val="00133F4B"/>
    <w:rsid w:val="00134C91"/>
    <w:rsid w:val="001356DC"/>
    <w:rsid w:val="00146EE3"/>
    <w:rsid w:val="00155A43"/>
    <w:rsid w:val="001613C2"/>
    <w:rsid w:val="00166B0B"/>
    <w:rsid w:val="00186FE1"/>
    <w:rsid w:val="001901D1"/>
    <w:rsid w:val="00194670"/>
    <w:rsid w:val="001A4D90"/>
    <w:rsid w:val="001B0F5B"/>
    <w:rsid w:val="001B2048"/>
    <w:rsid w:val="001C1387"/>
    <w:rsid w:val="001D2C22"/>
    <w:rsid w:val="001D36EA"/>
    <w:rsid w:val="001E6F2F"/>
    <w:rsid w:val="00217FBC"/>
    <w:rsid w:val="002230AC"/>
    <w:rsid w:val="002358BC"/>
    <w:rsid w:val="00236693"/>
    <w:rsid w:val="00241347"/>
    <w:rsid w:val="002509E9"/>
    <w:rsid w:val="00252950"/>
    <w:rsid w:val="00254083"/>
    <w:rsid w:val="0025636F"/>
    <w:rsid w:val="00261CF5"/>
    <w:rsid w:val="00263292"/>
    <w:rsid w:val="00270412"/>
    <w:rsid w:val="002743EA"/>
    <w:rsid w:val="00277E72"/>
    <w:rsid w:val="00280336"/>
    <w:rsid w:val="00291A5F"/>
    <w:rsid w:val="00295EBC"/>
    <w:rsid w:val="0029750D"/>
    <w:rsid w:val="002A2A4B"/>
    <w:rsid w:val="002A6DEC"/>
    <w:rsid w:val="002A7FDA"/>
    <w:rsid w:val="002C2666"/>
    <w:rsid w:val="002C7F16"/>
    <w:rsid w:val="002F50AC"/>
    <w:rsid w:val="002F68A2"/>
    <w:rsid w:val="0030260C"/>
    <w:rsid w:val="0030378D"/>
    <w:rsid w:val="003065E8"/>
    <w:rsid w:val="0032789B"/>
    <w:rsid w:val="00335A30"/>
    <w:rsid w:val="0034143A"/>
    <w:rsid w:val="0035279B"/>
    <w:rsid w:val="0035393C"/>
    <w:rsid w:val="00364FAC"/>
    <w:rsid w:val="00370C5B"/>
    <w:rsid w:val="003758A1"/>
    <w:rsid w:val="003829B5"/>
    <w:rsid w:val="00390EE3"/>
    <w:rsid w:val="003919F1"/>
    <w:rsid w:val="00393B26"/>
    <w:rsid w:val="003A272A"/>
    <w:rsid w:val="003A6AE4"/>
    <w:rsid w:val="003D26FF"/>
    <w:rsid w:val="003E021F"/>
    <w:rsid w:val="003E3935"/>
    <w:rsid w:val="003E72C0"/>
    <w:rsid w:val="003F175E"/>
    <w:rsid w:val="003F1CCE"/>
    <w:rsid w:val="003F38FC"/>
    <w:rsid w:val="003F56D8"/>
    <w:rsid w:val="003F7141"/>
    <w:rsid w:val="004010BE"/>
    <w:rsid w:val="00413F36"/>
    <w:rsid w:val="00425580"/>
    <w:rsid w:val="00433DE6"/>
    <w:rsid w:val="0043651E"/>
    <w:rsid w:val="0044147A"/>
    <w:rsid w:val="00442CB3"/>
    <w:rsid w:val="00454186"/>
    <w:rsid w:val="00475499"/>
    <w:rsid w:val="00476D44"/>
    <w:rsid w:val="00480AEB"/>
    <w:rsid w:val="00493157"/>
    <w:rsid w:val="004966E3"/>
    <w:rsid w:val="004A100D"/>
    <w:rsid w:val="004A19BE"/>
    <w:rsid w:val="004A5501"/>
    <w:rsid w:val="004D1ECD"/>
    <w:rsid w:val="004D4C7C"/>
    <w:rsid w:val="004D653B"/>
    <w:rsid w:val="004E72F5"/>
    <w:rsid w:val="004F3903"/>
    <w:rsid w:val="00507DE2"/>
    <w:rsid w:val="00526B2A"/>
    <w:rsid w:val="00526ED7"/>
    <w:rsid w:val="0055282E"/>
    <w:rsid w:val="005530CE"/>
    <w:rsid w:val="005541FC"/>
    <w:rsid w:val="0055660E"/>
    <w:rsid w:val="0056258D"/>
    <w:rsid w:val="00583EF0"/>
    <w:rsid w:val="00584722"/>
    <w:rsid w:val="0059746E"/>
    <w:rsid w:val="005B296A"/>
    <w:rsid w:val="005C06E5"/>
    <w:rsid w:val="005C29CF"/>
    <w:rsid w:val="005D308F"/>
    <w:rsid w:val="005D7750"/>
    <w:rsid w:val="005E4B04"/>
    <w:rsid w:val="005E7657"/>
    <w:rsid w:val="00604208"/>
    <w:rsid w:val="00615630"/>
    <w:rsid w:val="006228AA"/>
    <w:rsid w:val="0062545F"/>
    <w:rsid w:val="00631828"/>
    <w:rsid w:val="00632870"/>
    <w:rsid w:val="0066019A"/>
    <w:rsid w:val="00660E6C"/>
    <w:rsid w:val="00661081"/>
    <w:rsid w:val="00664C2F"/>
    <w:rsid w:val="00666EAC"/>
    <w:rsid w:val="0068462D"/>
    <w:rsid w:val="0069329D"/>
    <w:rsid w:val="006A15B6"/>
    <w:rsid w:val="006A171E"/>
    <w:rsid w:val="006A1E46"/>
    <w:rsid w:val="006B2D35"/>
    <w:rsid w:val="006D0A7E"/>
    <w:rsid w:val="006D4E75"/>
    <w:rsid w:val="006E2AC1"/>
    <w:rsid w:val="006F1CA5"/>
    <w:rsid w:val="006F6349"/>
    <w:rsid w:val="0070314B"/>
    <w:rsid w:val="007135ED"/>
    <w:rsid w:val="0071684F"/>
    <w:rsid w:val="00725760"/>
    <w:rsid w:val="0072787F"/>
    <w:rsid w:val="0073131A"/>
    <w:rsid w:val="007325B5"/>
    <w:rsid w:val="007415CA"/>
    <w:rsid w:val="00757C42"/>
    <w:rsid w:val="007614A6"/>
    <w:rsid w:val="007614EF"/>
    <w:rsid w:val="00762FA3"/>
    <w:rsid w:val="00765345"/>
    <w:rsid w:val="00771A07"/>
    <w:rsid w:val="00777CDF"/>
    <w:rsid w:val="007854E7"/>
    <w:rsid w:val="00786AC5"/>
    <w:rsid w:val="00787748"/>
    <w:rsid w:val="00791FCB"/>
    <w:rsid w:val="007A206D"/>
    <w:rsid w:val="007A3C07"/>
    <w:rsid w:val="007A609F"/>
    <w:rsid w:val="007B0B8F"/>
    <w:rsid w:val="007B4A1D"/>
    <w:rsid w:val="007C7B06"/>
    <w:rsid w:val="007D28E3"/>
    <w:rsid w:val="007F4DD8"/>
    <w:rsid w:val="0080153F"/>
    <w:rsid w:val="00804CFA"/>
    <w:rsid w:val="0082220A"/>
    <w:rsid w:val="00833DD9"/>
    <w:rsid w:val="00834124"/>
    <w:rsid w:val="00834497"/>
    <w:rsid w:val="00852E10"/>
    <w:rsid w:val="00855FD7"/>
    <w:rsid w:val="00856037"/>
    <w:rsid w:val="008615B0"/>
    <w:rsid w:val="00870B4F"/>
    <w:rsid w:val="00873D22"/>
    <w:rsid w:val="00874A04"/>
    <w:rsid w:val="008B2756"/>
    <w:rsid w:val="008B551F"/>
    <w:rsid w:val="008B7FF7"/>
    <w:rsid w:val="008C1DAE"/>
    <w:rsid w:val="008E1396"/>
    <w:rsid w:val="008F300F"/>
    <w:rsid w:val="008F6E2E"/>
    <w:rsid w:val="0090554A"/>
    <w:rsid w:val="00925E13"/>
    <w:rsid w:val="00927127"/>
    <w:rsid w:val="009374E3"/>
    <w:rsid w:val="00944CD8"/>
    <w:rsid w:val="00951FFF"/>
    <w:rsid w:val="00955AE6"/>
    <w:rsid w:val="00957257"/>
    <w:rsid w:val="009747E3"/>
    <w:rsid w:val="00984F2C"/>
    <w:rsid w:val="00987B11"/>
    <w:rsid w:val="00991546"/>
    <w:rsid w:val="00992DC6"/>
    <w:rsid w:val="00997333"/>
    <w:rsid w:val="009A4FED"/>
    <w:rsid w:val="009B3E0F"/>
    <w:rsid w:val="009C2746"/>
    <w:rsid w:val="009C34F4"/>
    <w:rsid w:val="009E3FC6"/>
    <w:rsid w:val="009F26DD"/>
    <w:rsid w:val="00A07EBA"/>
    <w:rsid w:val="00A148C2"/>
    <w:rsid w:val="00A16C62"/>
    <w:rsid w:val="00A17CC3"/>
    <w:rsid w:val="00A219C1"/>
    <w:rsid w:val="00A237FD"/>
    <w:rsid w:val="00A238F1"/>
    <w:rsid w:val="00A26CDF"/>
    <w:rsid w:val="00A34D25"/>
    <w:rsid w:val="00A436CD"/>
    <w:rsid w:val="00A53AFA"/>
    <w:rsid w:val="00A53E5F"/>
    <w:rsid w:val="00A60A9B"/>
    <w:rsid w:val="00A7387B"/>
    <w:rsid w:val="00A85031"/>
    <w:rsid w:val="00A9475E"/>
    <w:rsid w:val="00AA582D"/>
    <w:rsid w:val="00AA72AD"/>
    <w:rsid w:val="00AC161D"/>
    <w:rsid w:val="00AC41C6"/>
    <w:rsid w:val="00AE3D3E"/>
    <w:rsid w:val="00AF1252"/>
    <w:rsid w:val="00AF38BA"/>
    <w:rsid w:val="00AF5A81"/>
    <w:rsid w:val="00B01115"/>
    <w:rsid w:val="00B1743F"/>
    <w:rsid w:val="00B178AA"/>
    <w:rsid w:val="00B203A6"/>
    <w:rsid w:val="00B203D7"/>
    <w:rsid w:val="00B25442"/>
    <w:rsid w:val="00B263F4"/>
    <w:rsid w:val="00B304F2"/>
    <w:rsid w:val="00B33B49"/>
    <w:rsid w:val="00B34C02"/>
    <w:rsid w:val="00B356F9"/>
    <w:rsid w:val="00B403C1"/>
    <w:rsid w:val="00B431E3"/>
    <w:rsid w:val="00B45A42"/>
    <w:rsid w:val="00B4723F"/>
    <w:rsid w:val="00B5376E"/>
    <w:rsid w:val="00B7546B"/>
    <w:rsid w:val="00B85C8E"/>
    <w:rsid w:val="00B91B93"/>
    <w:rsid w:val="00B96831"/>
    <w:rsid w:val="00BA044F"/>
    <w:rsid w:val="00BB3F4E"/>
    <w:rsid w:val="00BB793C"/>
    <w:rsid w:val="00BC42FB"/>
    <w:rsid w:val="00BC4CCB"/>
    <w:rsid w:val="00BD2813"/>
    <w:rsid w:val="00BD45DF"/>
    <w:rsid w:val="00BD7CF8"/>
    <w:rsid w:val="00BE042F"/>
    <w:rsid w:val="00BE6747"/>
    <w:rsid w:val="00C010A9"/>
    <w:rsid w:val="00C1538E"/>
    <w:rsid w:val="00C41978"/>
    <w:rsid w:val="00C61509"/>
    <w:rsid w:val="00C63BF1"/>
    <w:rsid w:val="00C648A3"/>
    <w:rsid w:val="00C701A9"/>
    <w:rsid w:val="00C76D9D"/>
    <w:rsid w:val="00C8058A"/>
    <w:rsid w:val="00C80DAB"/>
    <w:rsid w:val="00C84D66"/>
    <w:rsid w:val="00C87995"/>
    <w:rsid w:val="00C87FF3"/>
    <w:rsid w:val="00C92C5B"/>
    <w:rsid w:val="00C92ED3"/>
    <w:rsid w:val="00CA332E"/>
    <w:rsid w:val="00CA7CAC"/>
    <w:rsid w:val="00CC55B3"/>
    <w:rsid w:val="00CD7FA8"/>
    <w:rsid w:val="00CE02C7"/>
    <w:rsid w:val="00CE1A8E"/>
    <w:rsid w:val="00CE43C8"/>
    <w:rsid w:val="00CF20CE"/>
    <w:rsid w:val="00D044A6"/>
    <w:rsid w:val="00D10DCB"/>
    <w:rsid w:val="00D17D3C"/>
    <w:rsid w:val="00D335D0"/>
    <w:rsid w:val="00D36833"/>
    <w:rsid w:val="00D6182B"/>
    <w:rsid w:val="00D6258E"/>
    <w:rsid w:val="00D644A2"/>
    <w:rsid w:val="00D65F16"/>
    <w:rsid w:val="00D728CF"/>
    <w:rsid w:val="00D7742B"/>
    <w:rsid w:val="00D8208A"/>
    <w:rsid w:val="00D8583D"/>
    <w:rsid w:val="00D92F46"/>
    <w:rsid w:val="00DB315C"/>
    <w:rsid w:val="00DB501E"/>
    <w:rsid w:val="00DD49C3"/>
    <w:rsid w:val="00DD653F"/>
    <w:rsid w:val="00DE0636"/>
    <w:rsid w:val="00DE0655"/>
    <w:rsid w:val="00DE7D85"/>
    <w:rsid w:val="00DF3C49"/>
    <w:rsid w:val="00E030DF"/>
    <w:rsid w:val="00E12D9E"/>
    <w:rsid w:val="00E13143"/>
    <w:rsid w:val="00E33F28"/>
    <w:rsid w:val="00E44FDE"/>
    <w:rsid w:val="00E47FC6"/>
    <w:rsid w:val="00E55159"/>
    <w:rsid w:val="00E56854"/>
    <w:rsid w:val="00E56C1E"/>
    <w:rsid w:val="00E60220"/>
    <w:rsid w:val="00E83A9D"/>
    <w:rsid w:val="00E87251"/>
    <w:rsid w:val="00E974BB"/>
    <w:rsid w:val="00E97F48"/>
    <w:rsid w:val="00EA15B3"/>
    <w:rsid w:val="00EB0175"/>
    <w:rsid w:val="00ED1B2C"/>
    <w:rsid w:val="00ED778D"/>
    <w:rsid w:val="00ED7F4F"/>
    <w:rsid w:val="00EE398F"/>
    <w:rsid w:val="00EE65D4"/>
    <w:rsid w:val="00EF3C27"/>
    <w:rsid w:val="00F1017C"/>
    <w:rsid w:val="00F265A4"/>
    <w:rsid w:val="00F422D3"/>
    <w:rsid w:val="00F50155"/>
    <w:rsid w:val="00F5494F"/>
    <w:rsid w:val="00F60A2B"/>
    <w:rsid w:val="00F61D8F"/>
    <w:rsid w:val="00F66A59"/>
    <w:rsid w:val="00F7069B"/>
    <w:rsid w:val="00F72749"/>
    <w:rsid w:val="00F82380"/>
    <w:rsid w:val="00F8434A"/>
    <w:rsid w:val="00F91859"/>
    <w:rsid w:val="00F94824"/>
    <w:rsid w:val="00FA5AD0"/>
    <w:rsid w:val="00FB0020"/>
    <w:rsid w:val="00FB1C50"/>
    <w:rsid w:val="00FB4F56"/>
    <w:rsid w:val="00FC6AF3"/>
    <w:rsid w:val="00FE009D"/>
    <w:rsid w:val="00FE23D1"/>
    <w:rsid w:val="00FE2FAD"/>
    <w:rsid w:val="00FE38C8"/>
    <w:rsid w:val="00FE537C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1"/>
    <w:qFormat/>
    <w:rsid w:val="00BC42F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qFormat/>
    <w:rsid w:val="00992DC6"/>
    <w:pPr>
      <w:keepNext/>
      <w:numPr>
        <w:numId w:val="8"/>
      </w:numPr>
      <w:spacing w:line="360" w:lineRule="auto"/>
      <w:outlineLvl w:val="0"/>
    </w:pPr>
    <w:rPr>
      <w:rFonts w:ascii="Times New Roman Bold" w:hAnsi="Times New Roman Bold" w:cs="Arial"/>
      <w:b/>
      <w:bCs/>
      <w:color w:val="000000"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834497"/>
    <w:pPr>
      <w:keepNext/>
      <w:ind w:left="576" w:hanging="576"/>
      <w:outlineLvl w:val="1"/>
    </w:pPr>
    <w:rPr>
      <w:rFonts w:ascii="Times New Roman Bold" w:hAnsi="Times New Roman Bold" w:cs="Arial"/>
      <w:iCs/>
      <w:color w:val="000000"/>
      <w:kern w:val="32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C42FB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C42FB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BC42FB"/>
    <w:pPr>
      <w:numPr>
        <w:ilvl w:val="4"/>
        <w:numId w:val="1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C42F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BC42FB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BC42FB"/>
    <w:pPr>
      <w:numPr>
        <w:ilvl w:val="7"/>
        <w:numId w:val="1"/>
      </w:numPr>
      <w:spacing w:before="240" w:after="6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BC42FB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DC6"/>
    <w:rPr>
      <w:rFonts w:ascii="Times New Roman Bold" w:eastAsia="Times New Roman" w:hAnsi="Times New Roman Bold" w:cs="Arial"/>
      <w:b/>
      <w:bCs/>
      <w:color w:val="000000"/>
      <w:kern w:val="32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834497"/>
    <w:rPr>
      <w:rFonts w:ascii="Times New Roman Bold" w:eastAsia="Times New Roman" w:hAnsi="Times New Roman Bold" w:cs="Arial"/>
      <w:iCs/>
      <w:color w:val="000000"/>
      <w:kern w:val="3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C42FB"/>
    <w:rPr>
      <w:rFonts w:ascii="Times New Roman" w:eastAsia="Times New Roman" w:hAnsi="Times New Roman" w:cs="Arial"/>
      <w:b/>
      <w:bCs/>
      <w:sz w:val="26"/>
      <w:szCs w:val="26"/>
      <w:lang w:val="de-DE"/>
    </w:rPr>
  </w:style>
  <w:style w:type="character" w:customStyle="1" w:styleId="Heading4Char">
    <w:name w:val="Heading 4 Char"/>
    <w:basedOn w:val="DefaultParagraphFont"/>
    <w:link w:val="Heading4"/>
    <w:rsid w:val="00BC42FB"/>
    <w:rPr>
      <w:rFonts w:ascii="Times New Roman" w:eastAsia="Times New Roman" w:hAnsi="Times New Roman" w:cs="Times New Roman"/>
      <w:b/>
      <w:bCs/>
      <w:sz w:val="28"/>
      <w:szCs w:val="28"/>
      <w:lang w:val="de-DE"/>
    </w:rPr>
  </w:style>
  <w:style w:type="character" w:customStyle="1" w:styleId="Heading5Char">
    <w:name w:val="Heading 5 Char"/>
    <w:basedOn w:val="DefaultParagraphFont"/>
    <w:link w:val="Heading5"/>
    <w:rsid w:val="00BC42FB"/>
    <w:rPr>
      <w:rFonts w:ascii="Times New Roman" w:eastAsia="Times New Roman" w:hAnsi="Times New Roman" w:cs="Times New Roman"/>
      <w:b/>
      <w:bCs/>
      <w:iCs/>
      <w:sz w:val="26"/>
      <w:szCs w:val="26"/>
      <w:lang w:val="de-DE"/>
    </w:rPr>
  </w:style>
  <w:style w:type="character" w:customStyle="1" w:styleId="Heading6Char">
    <w:name w:val="Heading 6 Char"/>
    <w:basedOn w:val="DefaultParagraphFont"/>
    <w:link w:val="Heading6"/>
    <w:rsid w:val="00BC42FB"/>
    <w:rPr>
      <w:rFonts w:ascii="Times New Roman" w:eastAsia="Times New Roman" w:hAnsi="Times New Roman" w:cs="Times New Roman"/>
      <w:b/>
      <w:bCs/>
      <w:sz w:val="28"/>
      <w:lang w:val="de-DE"/>
    </w:rPr>
  </w:style>
  <w:style w:type="character" w:customStyle="1" w:styleId="Heading7Char">
    <w:name w:val="Heading 7 Char"/>
    <w:basedOn w:val="DefaultParagraphFont"/>
    <w:link w:val="Heading7"/>
    <w:rsid w:val="00BC42FB"/>
    <w:rPr>
      <w:rFonts w:ascii="Times New Roman" w:eastAsia="Times New Roman" w:hAnsi="Times New Roman" w:cs="Times New Roman"/>
      <w:sz w:val="28"/>
      <w:szCs w:val="24"/>
      <w:lang w:val="de-DE"/>
    </w:rPr>
  </w:style>
  <w:style w:type="character" w:customStyle="1" w:styleId="Heading8Char">
    <w:name w:val="Heading 8 Char"/>
    <w:basedOn w:val="DefaultParagraphFont"/>
    <w:link w:val="Heading8"/>
    <w:rsid w:val="00BC42FB"/>
    <w:rPr>
      <w:rFonts w:ascii="Times New Roman" w:eastAsia="Times New Roman" w:hAnsi="Times New Roman" w:cs="Times New Roman"/>
      <w:iCs/>
      <w:sz w:val="28"/>
      <w:szCs w:val="24"/>
      <w:lang w:val="de-DE"/>
    </w:rPr>
  </w:style>
  <w:style w:type="character" w:customStyle="1" w:styleId="Heading9Char">
    <w:name w:val="Heading 9 Char"/>
    <w:basedOn w:val="DefaultParagraphFont"/>
    <w:link w:val="Heading9"/>
    <w:rsid w:val="00BC42FB"/>
    <w:rPr>
      <w:rFonts w:ascii="Times New Roman" w:eastAsia="Times New Roman" w:hAnsi="Times New Roman" w:cs="Arial"/>
      <w:sz w:val="28"/>
      <w:lang w:val="de-DE"/>
    </w:rPr>
  </w:style>
  <w:style w:type="paragraph" w:styleId="Header">
    <w:name w:val="header"/>
    <w:basedOn w:val="Normal"/>
    <w:link w:val="HeaderChar"/>
    <w:rsid w:val="00BC42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BC42FB"/>
    <w:rPr>
      <w:rFonts w:ascii="Times New Roman" w:eastAsia="Times New Roman" w:hAnsi="Times New Roman" w:cs="Times New Roman"/>
      <w:sz w:val="28"/>
      <w:szCs w:val="20"/>
      <w:lang w:val="de-DE"/>
    </w:rPr>
  </w:style>
  <w:style w:type="character" w:styleId="PageNumber">
    <w:name w:val="page number"/>
    <w:basedOn w:val="DefaultParagraphFont"/>
    <w:rsid w:val="00BC42FB"/>
  </w:style>
  <w:style w:type="table" w:styleId="TableGrid">
    <w:name w:val="Table Grid"/>
    <w:basedOn w:val="TableNormal"/>
    <w:rsid w:val="00BC42F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link w:val="TOC1Char"/>
    <w:autoRedefine/>
    <w:uiPriority w:val="39"/>
    <w:qFormat/>
    <w:rsid w:val="00834497"/>
    <w:pPr>
      <w:tabs>
        <w:tab w:val="left" w:pos="360"/>
        <w:tab w:val="left" w:pos="720"/>
        <w:tab w:val="right" w:leader="dot" w:pos="9800"/>
      </w:tabs>
      <w:spacing w:before="120" w:after="120"/>
    </w:pPr>
    <w:rPr>
      <w:rFonts w:ascii="Times New Roman Bold" w:hAnsi="Times New Roman Bold"/>
      <w:bCs/>
      <w:noProof/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834497"/>
    <w:pPr>
      <w:tabs>
        <w:tab w:val="right" w:leader="dot" w:pos="9736"/>
      </w:tabs>
      <w:spacing w:before="120"/>
      <w:ind w:left="540"/>
    </w:pPr>
    <w:rPr>
      <w:rFonts w:ascii="Calibri" w:hAnsi="Calibr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semiHidden/>
    <w:qFormat/>
    <w:rsid w:val="00BC42FB"/>
    <w:pPr>
      <w:ind w:left="560"/>
    </w:pPr>
    <w:rPr>
      <w:rFonts w:ascii="Calibri" w:hAnsi="Calibri"/>
      <w:sz w:val="20"/>
    </w:rPr>
  </w:style>
  <w:style w:type="character" w:styleId="Hyperlink">
    <w:name w:val="Hyperlink"/>
    <w:uiPriority w:val="99"/>
    <w:rsid w:val="00BC42FB"/>
    <w:rPr>
      <w:color w:val="0000FF"/>
      <w:u w:val="single"/>
    </w:rPr>
  </w:style>
  <w:style w:type="paragraph" w:styleId="Footer">
    <w:name w:val="footer"/>
    <w:basedOn w:val="Normal"/>
    <w:link w:val="FooterChar"/>
    <w:rsid w:val="00BC42FB"/>
    <w:pPr>
      <w:tabs>
        <w:tab w:val="center" w:pos="4536"/>
        <w:tab w:val="right" w:pos="9072"/>
      </w:tabs>
    </w:pPr>
    <w:rPr>
      <w:lang w:eastAsia="x-none"/>
    </w:rPr>
  </w:style>
  <w:style w:type="character" w:customStyle="1" w:styleId="FooterChar">
    <w:name w:val="Footer Char"/>
    <w:basedOn w:val="DefaultParagraphFont"/>
    <w:link w:val="Footer"/>
    <w:rsid w:val="00BC42FB"/>
    <w:rPr>
      <w:rFonts w:ascii="Times New Roman" w:eastAsia="Times New Roman" w:hAnsi="Times New Roman" w:cs="Times New Roman"/>
      <w:sz w:val="28"/>
      <w:szCs w:val="20"/>
      <w:lang w:val="de-DE" w:eastAsia="x-none"/>
    </w:rPr>
  </w:style>
  <w:style w:type="paragraph" w:styleId="BalloonText">
    <w:name w:val="Balloon Text"/>
    <w:basedOn w:val="Normal"/>
    <w:link w:val="BalloonTextChar"/>
    <w:semiHidden/>
    <w:rsid w:val="00BC42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C42FB"/>
    <w:rPr>
      <w:rFonts w:ascii="Tahoma" w:eastAsia="Times New Roman" w:hAnsi="Tahoma" w:cs="Tahoma"/>
      <w:sz w:val="16"/>
      <w:szCs w:val="16"/>
      <w:lang w:val="de-DE"/>
    </w:rPr>
  </w:style>
  <w:style w:type="character" w:styleId="CommentReference">
    <w:name w:val="annotation reference"/>
    <w:semiHidden/>
    <w:rsid w:val="00BC42F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C42F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C42FB"/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C42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C42FB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BC42FB"/>
    <w:pPr>
      <w:keepLines/>
      <w:spacing w:before="480" w:line="276" w:lineRule="auto"/>
      <w:outlineLvl w:val="9"/>
    </w:pPr>
    <w:rPr>
      <w:rFonts w:ascii="Cambria" w:eastAsia="MS Gothic" w:hAnsi="Cambria" w:cs="Times New Roman"/>
      <w:caps/>
      <w:color w:val="365F91"/>
      <w:kern w:val="0"/>
      <w:szCs w:val="28"/>
      <w:lang w:eastAsia="ja-JP"/>
    </w:rPr>
  </w:style>
  <w:style w:type="paragraph" w:customStyle="1" w:styleId="Default">
    <w:name w:val="Default"/>
    <w:rsid w:val="00BC42F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C42FB"/>
    <w:rPr>
      <w:color w:val="800080"/>
      <w:u w:val="single"/>
    </w:rPr>
  </w:style>
  <w:style w:type="character" w:customStyle="1" w:styleId="bold5">
    <w:name w:val="bold5"/>
    <w:rsid w:val="00BC42FB"/>
    <w:rPr>
      <w:b/>
      <w:bCs/>
      <w:i w:val="0"/>
      <w:iCs w:val="0"/>
    </w:rPr>
  </w:style>
  <w:style w:type="paragraph" w:styleId="NoSpacing">
    <w:name w:val="No Spacing"/>
    <w:uiPriority w:val="1"/>
    <w:qFormat/>
    <w:rsid w:val="00BC42FB"/>
    <w:pPr>
      <w:spacing w:after="0" w:line="240" w:lineRule="auto"/>
    </w:pPr>
    <w:rPr>
      <w:rFonts w:ascii="Arial" w:eastAsia="Times New Roman" w:hAnsi="Arial" w:cs="Times New Roman"/>
      <w:sz w:val="24"/>
      <w:szCs w:val="20"/>
      <w:lang w:val="de-DE"/>
    </w:rPr>
  </w:style>
  <w:style w:type="paragraph" w:customStyle="1" w:styleId="Normal2">
    <w:name w:val="Normal2"/>
    <w:next w:val="Normal"/>
    <w:qFormat/>
    <w:rsid w:val="00BC42FB"/>
    <w:pPr>
      <w:spacing w:after="0" w:line="240" w:lineRule="auto"/>
    </w:pPr>
    <w:rPr>
      <w:rFonts w:ascii="Arial" w:eastAsia="Times New Roman" w:hAnsi="Arial" w:cs="Times New Roman"/>
      <w:sz w:val="24"/>
      <w:szCs w:val="20"/>
      <w:lang w:val="de-DE"/>
    </w:rPr>
  </w:style>
  <w:style w:type="character" w:styleId="IntenseEmphasis">
    <w:name w:val="Intense Emphasis"/>
    <w:uiPriority w:val="21"/>
    <w:qFormat/>
    <w:rsid w:val="00BC42FB"/>
    <w:rPr>
      <w:b/>
      <w:bCs/>
      <w:i/>
      <w:iCs/>
      <w:color w:val="4F81BD"/>
    </w:rPr>
  </w:style>
  <w:style w:type="paragraph" w:styleId="Revision">
    <w:name w:val="Revision"/>
    <w:hidden/>
    <w:uiPriority w:val="99"/>
    <w:semiHidden/>
    <w:rsid w:val="00BC42F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de-DE"/>
    </w:rPr>
  </w:style>
  <w:style w:type="table" w:customStyle="1" w:styleId="TableGrid1">
    <w:name w:val="Table Grid1"/>
    <w:basedOn w:val="TableNormal"/>
    <w:next w:val="TableGrid"/>
    <w:rsid w:val="00BC42F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Table">
    <w:name w:val="_Text Table"/>
    <w:basedOn w:val="Normal"/>
    <w:link w:val="TextTableChar"/>
    <w:rsid w:val="00BC42FB"/>
    <w:pPr>
      <w:spacing w:before="40"/>
    </w:pPr>
    <w:rPr>
      <w:sz w:val="22"/>
      <w:szCs w:val="22"/>
    </w:rPr>
  </w:style>
  <w:style w:type="character" w:customStyle="1" w:styleId="TextTableChar">
    <w:name w:val="_Text Table Char"/>
    <w:link w:val="TextTable"/>
    <w:rsid w:val="00BC42FB"/>
    <w:rPr>
      <w:rFonts w:ascii="Times New Roman" w:eastAsia="Times New Roman" w:hAnsi="Times New Roman" w:cs="Times New Roman"/>
    </w:rPr>
  </w:style>
  <w:style w:type="character" w:customStyle="1" w:styleId="bold">
    <w:name w:val="bold"/>
    <w:rsid w:val="00BC42FB"/>
  </w:style>
  <w:style w:type="paragraph" w:styleId="NormalWeb">
    <w:name w:val="Normal (Web)"/>
    <w:basedOn w:val="Normal"/>
    <w:uiPriority w:val="99"/>
    <w:semiHidden/>
    <w:unhideWhenUsed/>
    <w:rsid w:val="00BC42FB"/>
    <w:pPr>
      <w:spacing w:before="100" w:beforeAutospacing="1" w:after="100" w:afterAutospacing="1"/>
    </w:pPr>
    <w:rPr>
      <w:sz w:val="24"/>
      <w:szCs w:val="24"/>
    </w:rPr>
  </w:style>
  <w:style w:type="paragraph" w:customStyle="1" w:styleId="first">
    <w:name w:val="first"/>
    <w:basedOn w:val="Normal"/>
    <w:rsid w:val="00BC42FB"/>
    <w:pPr>
      <w:spacing w:before="100" w:beforeAutospacing="1" w:after="100" w:afterAutospacing="1"/>
    </w:pPr>
    <w:rPr>
      <w:sz w:val="24"/>
      <w:szCs w:val="24"/>
    </w:rPr>
  </w:style>
  <w:style w:type="character" w:customStyle="1" w:styleId="italics">
    <w:name w:val="italics"/>
    <w:rsid w:val="00BC42FB"/>
  </w:style>
  <w:style w:type="character" w:customStyle="1" w:styleId="sup">
    <w:name w:val="sup"/>
    <w:rsid w:val="00BC42FB"/>
  </w:style>
  <w:style w:type="character" w:customStyle="1" w:styleId="TOC1Char">
    <w:name w:val="TOC 1 Char"/>
    <w:link w:val="TOC1"/>
    <w:uiPriority w:val="39"/>
    <w:rsid w:val="00834497"/>
    <w:rPr>
      <w:rFonts w:ascii="Times New Roman Bold" w:eastAsia="Times New Roman" w:hAnsi="Times New Roman Bold" w:cs="Times New Roman"/>
      <w:bCs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BC42FB"/>
    <w:pPr>
      <w:ind w:left="720"/>
    </w:pPr>
  </w:style>
  <w:style w:type="paragraph" w:styleId="TOC4">
    <w:name w:val="toc 4"/>
    <w:basedOn w:val="Normal"/>
    <w:next w:val="Normal"/>
    <w:autoRedefine/>
    <w:uiPriority w:val="39"/>
    <w:unhideWhenUsed/>
    <w:rsid w:val="00BC42FB"/>
    <w:pPr>
      <w:ind w:left="840"/>
    </w:pPr>
    <w:rPr>
      <w:rFonts w:ascii="Calibri" w:hAnsi="Calibr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BC42FB"/>
    <w:pPr>
      <w:ind w:left="1120"/>
    </w:pPr>
    <w:rPr>
      <w:rFonts w:ascii="Calibri" w:hAnsi="Calibr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BC42FB"/>
    <w:pPr>
      <w:ind w:left="1400"/>
    </w:pPr>
    <w:rPr>
      <w:rFonts w:ascii="Calibri" w:hAnsi="Calibr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BC42FB"/>
    <w:pPr>
      <w:ind w:left="1680"/>
    </w:pPr>
    <w:rPr>
      <w:rFonts w:ascii="Calibri" w:hAnsi="Calibr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BC42FB"/>
    <w:pPr>
      <w:ind w:left="1960"/>
    </w:pPr>
    <w:rPr>
      <w:rFonts w:ascii="Calibri" w:hAnsi="Calibr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BC42FB"/>
    <w:pPr>
      <w:ind w:left="2240"/>
    </w:pPr>
    <w:rPr>
      <w:rFonts w:ascii="Calibri" w:hAnsi="Calibri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1A8E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1A8E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1A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1A8E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1A8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1A8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F175E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80A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1"/>
    <w:qFormat/>
    <w:rsid w:val="00BC42F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qFormat/>
    <w:rsid w:val="00992DC6"/>
    <w:pPr>
      <w:keepNext/>
      <w:numPr>
        <w:numId w:val="8"/>
      </w:numPr>
      <w:spacing w:line="360" w:lineRule="auto"/>
      <w:outlineLvl w:val="0"/>
    </w:pPr>
    <w:rPr>
      <w:rFonts w:ascii="Times New Roman Bold" w:hAnsi="Times New Roman Bold" w:cs="Arial"/>
      <w:b/>
      <w:bCs/>
      <w:color w:val="000000"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834497"/>
    <w:pPr>
      <w:keepNext/>
      <w:ind w:left="576" w:hanging="576"/>
      <w:outlineLvl w:val="1"/>
    </w:pPr>
    <w:rPr>
      <w:rFonts w:ascii="Times New Roman Bold" w:hAnsi="Times New Roman Bold" w:cs="Arial"/>
      <w:iCs/>
      <w:color w:val="000000"/>
      <w:kern w:val="32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C42FB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C42FB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BC42FB"/>
    <w:pPr>
      <w:numPr>
        <w:ilvl w:val="4"/>
        <w:numId w:val="1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C42F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BC42FB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BC42FB"/>
    <w:pPr>
      <w:numPr>
        <w:ilvl w:val="7"/>
        <w:numId w:val="1"/>
      </w:numPr>
      <w:spacing w:before="240" w:after="6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BC42FB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DC6"/>
    <w:rPr>
      <w:rFonts w:ascii="Times New Roman Bold" w:eastAsia="Times New Roman" w:hAnsi="Times New Roman Bold" w:cs="Arial"/>
      <w:b/>
      <w:bCs/>
      <w:color w:val="000000"/>
      <w:kern w:val="32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834497"/>
    <w:rPr>
      <w:rFonts w:ascii="Times New Roman Bold" w:eastAsia="Times New Roman" w:hAnsi="Times New Roman Bold" w:cs="Arial"/>
      <w:iCs/>
      <w:color w:val="000000"/>
      <w:kern w:val="3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C42FB"/>
    <w:rPr>
      <w:rFonts w:ascii="Times New Roman" w:eastAsia="Times New Roman" w:hAnsi="Times New Roman" w:cs="Arial"/>
      <w:b/>
      <w:bCs/>
      <w:sz w:val="26"/>
      <w:szCs w:val="26"/>
      <w:lang w:val="de-DE"/>
    </w:rPr>
  </w:style>
  <w:style w:type="character" w:customStyle="1" w:styleId="Heading4Char">
    <w:name w:val="Heading 4 Char"/>
    <w:basedOn w:val="DefaultParagraphFont"/>
    <w:link w:val="Heading4"/>
    <w:rsid w:val="00BC42FB"/>
    <w:rPr>
      <w:rFonts w:ascii="Times New Roman" w:eastAsia="Times New Roman" w:hAnsi="Times New Roman" w:cs="Times New Roman"/>
      <w:b/>
      <w:bCs/>
      <w:sz w:val="28"/>
      <w:szCs w:val="28"/>
      <w:lang w:val="de-DE"/>
    </w:rPr>
  </w:style>
  <w:style w:type="character" w:customStyle="1" w:styleId="Heading5Char">
    <w:name w:val="Heading 5 Char"/>
    <w:basedOn w:val="DefaultParagraphFont"/>
    <w:link w:val="Heading5"/>
    <w:rsid w:val="00BC42FB"/>
    <w:rPr>
      <w:rFonts w:ascii="Times New Roman" w:eastAsia="Times New Roman" w:hAnsi="Times New Roman" w:cs="Times New Roman"/>
      <w:b/>
      <w:bCs/>
      <w:iCs/>
      <w:sz w:val="26"/>
      <w:szCs w:val="26"/>
      <w:lang w:val="de-DE"/>
    </w:rPr>
  </w:style>
  <w:style w:type="character" w:customStyle="1" w:styleId="Heading6Char">
    <w:name w:val="Heading 6 Char"/>
    <w:basedOn w:val="DefaultParagraphFont"/>
    <w:link w:val="Heading6"/>
    <w:rsid w:val="00BC42FB"/>
    <w:rPr>
      <w:rFonts w:ascii="Times New Roman" w:eastAsia="Times New Roman" w:hAnsi="Times New Roman" w:cs="Times New Roman"/>
      <w:b/>
      <w:bCs/>
      <w:sz w:val="28"/>
      <w:lang w:val="de-DE"/>
    </w:rPr>
  </w:style>
  <w:style w:type="character" w:customStyle="1" w:styleId="Heading7Char">
    <w:name w:val="Heading 7 Char"/>
    <w:basedOn w:val="DefaultParagraphFont"/>
    <w:link w:val="Heading7"/>
    <w:rsid w:val="00BC42FB"/>
    <w:rPr>
      <w:rFonts w:ascii="Times New Roman" w:eastAsia="Times New Roman" w:hAnsi="Times New Roman" w:cs="Times New Roman"/>
      <w:sz w:val="28"/>
      <w:szCs w:val="24"/>
      <w:lang w:val="de-DE"/>
    </w:rPr>
  </w:style>
  <w:style w:type="character" w:customStyle="1" w:styleId="Heading8Char">
    <w:name w:val="Heading 8 Char"/>
    <w:basedOn w:val="DefaultParagraphFont"/>
    <w:link w:val="Heading8"/>
    <w:rsid w:val="00BC42FB"/>
    <w:rPr>
      <w:rFonts w:ascii="Times New Roman" w:eastAsia="Times New Roman" w:hAnsi="Times New Roman" w:cs="Times New Roman"/>
      <w:iCs/>
      <w:sz w:val="28"/>
      <w:szCs w:val="24"/>
      <w:lang w:val="de-DE"/>
    </w:rPr>
  </w:style>
  <w:style w:type="character" w:customStyle="1" w:styleId="Heading9Char">
    <w:name w:val="Heading 9 Char"/>
    <w:basedOn w:val="DefaultParagraphFont"/>
    <w:link w:val="Heading9"/>
    <w:rsid w:val="00BC42FB"/>
    <w:rPr>
      <w:rFonts w:ascii="Times New Roman" w:eastAsia="Times New Roman" w:hAnsi="Times New Roman" w:cs="Arial"/>
      <w:sz w:val="28"/>
      <w:lang w:val="de-DE"/>
    </w:rPr>
  </w:style>
  <w:style w:type="paragraph" w:styleId="Header">
    <w:name w:val="header"/>
    <w:basedOn w:val="Normal"/>
    <w:link w:val="HeaderChar"/>
    <w:rsid w:val="00BC42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BC42FB"/>
    <w:rPr>
      <w:rFonts w:ascii="Times New Roman" w:eastAsia="Times New Roman" w:hAnsi="Times New Roman" w:cs="Times New Roman"/>
      <w:sz w:val="28"/>
      <w:szCs w:val="20"/>
      <w:lang w:val="de-DE"/>
    </w:rPr>
  </w:style>
  <w:style w:type="character" w:styleId="PageNumber">
    <w:name w:val="page number"/>
    <w:basedOn w:val="DefaultParagraphFont"/>
    <w:rsid w:val="00BC42FB"/>
  </w:style>
  <w:style w:type="table" w:styleId="TableGrid">
    <w:name w:val="Table Grid"/>
    <w:basedOn w:val="TableNormal"/>
    <w:rsid w:val="00BC42F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link w:val="TOC1Char"/>
    <w:autoRedefine/>
    <w:uiPriority w:val="39"/>
    <w:qFormat/>
    <w:rsid w:val="00834497"/>
    <w:pPr>
      <w:tabs>
        <w:tab w:val="left" w:pos="360"/>
        <w:tab w:val="left" w:pos="720"/>
        <w:tab w:val="right" w:leader="dot" w:pos="9800"/>
      </w:tabs>
      <w:spacing w:before="120" w:after="120"/>
    </w:pPr>
    <w:rPr>
      <w:rFonts w:ascii="Times New Roman Bold" w:hAnsi="Times New Roman Bold"/>
      <w:bCs/>
      <w:noProof/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834497"/>
    <w:pPr>
      <w:tabs>
        <w:tab w:val="right" w:leader="dot" w:pos="9736"/>
      </w:tabs>
      <w:spacing w:before="120"/>
      <w:ind w:left="540"/>
    </w:pPr>
    <w:rPr>
      <w:rFonts w:ascii="Calibri" w:hAnsi="Calibr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semiHidden/>
    <w:qFormat/>
    <w:rsid w:val="00BC42FB"/>
    <w:pPr>
      <w:ind w:left="560"/>
    </w:pPr>
    <w:rPr>
      <w:rFonts w:ascii="Calibri" w:hAnsi="Calibri"/>
      <w:sz w:val="20"/>
    </w:rPr>
  </w:style>
  <w:style w:type="character" w:styleId="Hyperlink">
    <w:name w:val="Hyperlink"/>
    <w:uiPriority w:val="99"/>
    <w:rsid w:val="00BC42FB"/>
    <w:rPr>
      <w:color w:val="0000FF"/>
      <w:u w:val="single"/>
    </w:rPr>
  </w:style>
  <w:style w:type="paragraph" w:styleId="Footer">
    <w:name w:val="footer"/>
    <w:basedOn w:val="Normal"/>
    <w:link w:val="FooterChar"/>
    <w:rsid w:val="00BC42FB"/>
    <w:pPr>
      <w:tabs>
        <w:tab w:val="center" w:pos="4536"/>
        <w:tab w:val="right" w:pos="9072"/>
      </w:tabs>
    </w:pPr>
    <w:rPr>
      <w:lang w:eastAsia="x-none"/>
    </w:rPr>
  </w:style>
  <w:style w:type="character" w:customStyle="1" w:styleId="FooterChar">
    <w:name w:val="Footer Char"/>
    <w:basedOn w:val="DefaultParagraphFont"/>
    <w:link w:val="Footer"/>
    <w:rsid w:val="00BC42FB"/>
    <w:rPr>
      <w:rFonts w:ascii="Times New Roman" w:eastAsia="Times New Roman" w:hAnsi="Times New Roman" w:cs="Times New Roman"/>
      <w:sz w:val="28"/>
      <w:szCs w:val="20"/>
      <w:lang w:val="de-DE" w:eastAsia="x-none"/>
    </w:rPr>
  </w:style>
  <w:style w:type="paragraph" w:styleId="BalloonText">
    <w:name w:val="Balloon Text"/>
    <w:basedOn w:val="Normal"/>
    <w:link w:val="BalloonTextChar"/>
    <w:semiHidden/>
    <w:rsid w:val="00BC42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C42FB"/>
    <w:rPr>
      <w:rFonts w:ascii="Tahoma" w:eastAsia="Times New Roman" w:hAnsi="Tahoma" w:cs="Tahoma"/>
      <w:sz w:val="16"/>
      <w:szCs w:val="16"/>
      <w:lang w:val="de-DE"/>
    </w:rPr>
  </w:style>
  <w:style w:type="character" w:styleId="CommentReference">
    <w:name w:val="annotation reference"/>
    <w:semiHidden/>
    <w:rsid w:val="00BC42F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C42F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C42FB"/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C42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C42FB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BC42FB"/>
    <w:pPr>
      <w:keepLines/>
      <w:spacing w:before="480" w:line="276" w:lineRule="auto"/>
      <w:outlineLvl w:val="9"/>
    </w:pPr>
    <w:rPr>
      <w:rFonts w:ascii="Cambria" w:eastAsia="MS Gothic" w:hAnsi="Cambria" w:cs="Times New Roman"/>
      <w:caps/>
      <w:color w:val="365F91"/>
      <w:kern w:val="0"/>
      <w:szCs w:val="28"/>
      <w:lang w:eastAsia="ja-JP"/>
    </w:rPr>
  </w:style>
  <w:style w:type="paragraph" w:customStyle="1" w:styleId="Default">
    <w:name w:val="Default"/>
    <w:rsid w:val="00BC42F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C42FB"/>
    <w:rPr>
      <w:color w:val="800080"/>
      <w:u w:val="single"/>
    </w:rPr>
  </w:style>
  <w:style w:type="character" w:customStyle="1" w:styleId="bold5">
    <w:name w:val="bold5"/>
    <w:rsid w:val="00BC42FB"/>
    <w:rPr>
      <w:b/>
      <w:bCs/>
      <w:i w:val="0"/>
      <w:iCs w:val="0"/>
    </w:rPr>
  </w:style>
  <w:style w:type="paragraph" w:styleId="NoSpacing">
    <w:name w:val="No Spacing"/>
    <w:uiPriority w:val="1"/>
    <w:qFormat/>
    <w:rsid w:val="00BC42FB"/>
    <w:pPr>
      <w:spacing w:after="0" w:line="240" w:lineRule="auto"/>
    </w:pPr>
    <w:rPr>
      <w:rFonts w:ascii="Arial" w:eastAsia="Times New Roman" w:hAnsi="Arial" w:cs="Times New Roman"/>
      <w:sz w:val="24"/>
      <w:szCs w:val="20"/>
      <w:lang w:val="de-DE"/>
    </w:rPr>
  </w:style>
  <w:style w:type="paragraph" w:customStyle="1" w:styleId="Normal2">
    <w:name w:val="Normal2"/>
    <w:next w:val="Normal"/>
    <w:qFormat/>
    <w:rsid w:val="00BC42FB"/>
    <w:pPr>
      <w:spacing w:after="0" w:line="240" w:lineRule="auto"/>
    </w:pPr>
    <w:rPr>
      <w:rFonts w:ascii="Arial" w:eastAsia="Times New Roman" w:hAnsi="Arial" w:cs="Times New Roman"/>
      <w:sz w:val="24"/>
      <w:szCs w:val="20"/>
      <w:lang w:val="de-DE"/>
    </w:rPr>
  </w:style>
  <w:style w:type="character" w:styleId="IntenseEmphasis">
    <w:name w:val="Intense Emphasis"/>
    <w:uiPriority w:val="21"/>
    <w:qFormat/>
    <w:rsid w:val="00BC42FB"/>
    <w:rPr>
      <w:b/>
      <w:bCs/>
      <w:i/>
      <w:iCs/>
      <w:color w:val="4F81BD"/>
    </w:rPr>
  </w:style>
  <w:style w:type="paragraph" w:styleId="Revision">
    <w:name w:val="Revision"/>
    <w:hidden/>
    <w:uiPriority w:val="99"/>
    <w:semiHidden/>
    <w:rsid w:val="00BC42F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de-DE"/>
    </w:rPr>
  </w:style>
  <w:style w:type="table" w:customStyle="1" w:styleId="TableGrid1">
    <w:name w:val="Table Grid1"/>
    <w:basedOn w:val="TableNormal"/>
    <w:next w:val="TableGrid"/>
    <w:rsid w:val="00BC42F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Table">
    <w:name w:val="_Text Table"/>
    <w:basedOn w:val="Normal"/>
    <w:link w:val="TextTableChar"/>
    <w:rsid w:val="00BC42FB"/>
    <w:pPr>
      <w:spacing w:before="40"/>
    </w:pPr>
    <w:rPr>
      <w:sz w:val="22"/>
      <w:szCs w:val="22"/>
    </w:rPr>
  </w:style>
  <w:style w:type="character" w:customStyle="1" w:styleId="TextTableChar">
    <w:name w:val="_Text Table Char"/>
    <w:link w:val="TextTable"/>
    <w:rsid w:val="00BC42FB"/>
    <w:rPr>
      <w:rFonts w:ascii="Times New Roman" w:eastAsia="Times New Roman" w:hAnsi="Times New Roman" w:cs="Times New Roman"/>
    </w:rPr>
  </w:style>
  <w:style w:type="character" w:customStyle="1" w:styleId="bold">
    <w:name w:val="bold"/>
    <w:rsid w:val="00BC42FB"/>
  </w:style>
  <w:style w:type="paragraph" w:styleId="NormalWeb">
    <w:name w:val="Normal (Web)"/>
    <w:basedOn w:val="Normal"/>
    <w:uiPriority w:val="99"/>
    <w:semiHidden/>
    <w:unhideWhenUsed/>
    <w:rsid w:val="00BC42FB"/>
    <w:pPr>
      <w:spacing w:before="100" w:beforeAutospacing="1" w:after="100" w:afterAutospacing="1"/>
    </w:pPr>
    <w:rPr>
      <w:sz w:val="24"/>
      <w:szCs w:val="24"/>
    </w:rPr>
  </w:style>
  <w:style w:type="paragraph" w:customStyle="1" w:styleId="first">
    <w:name w:val="first"/>
    <w:basedOn w:val="Normal"/>
    <w:rsid w:val="00BC42FB"/>
    <w:pPr>
      <w:spacing w:before="100" w:beforeAutospacing="1" w:after="100" w:afterAutospacing="1"/>
    </w:pPr>
    <w:rPr>
      <w:sz w:val="24"/>
      <w:szCs w:val="24"/>
    </w:rPr>
  </w:style>
  <w:style w:type="character" w:customStyle="1" w:styleId="italics">
    <w:name w:val="italics"/>
    <w:rsid w:val="00BC42FB"/>
  </w:style>
  <w:style w:type="character" w:customStyle="1" w:styleId="sup">
    <w:name w:val="sup"/>
    <w:rsid w:val="00BC42FB"/>
  </w:style>
  <w:style w:type="character" w:customStyle="1" w:styleId="TOC1Char">
    <w:name w:val="TOC 1 Char"/>
    <w:link w:val="TOC1"/>
    <w:uiPriority w:val="39"/>
    <w:rsid w:val="00834497"/>
    <w:rPr>
      <w:rFonts w:ascii="Times New Roman Bold" w:eastAsia="Times New Roman" w:hAnsi="Times New Roman Bold" w:cs="Times New Roman"/>
      <w:bCs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BC42FB"/>
    <w:pPr>
      <w:ind w:left="720"/>
    </w:pPr>
  </w:style>
  <w:style w:type="paragraph" w:styleId="TOC4">
    <w:name w:val="toc 4"/>
    <w:basedOn w:val="Normal"/>
    <w:next w:val="Normal"/>
    <w:autoRedefine/>
    <w:uiPriority w:val="39"/>
    <w:unhideWhenUsed/>
    <w:rsid w:val="00BC42FB"/>
    <w:pPr>
      <w:ind w:left="840"/>
    </w:pPr>
    <w:rPr>
      <w:rFonts w:ascii="Calibri" w:hAnsi="Calibr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BC42FB"/>
    <w:pPr>
      <w:ind w:left="1120"/>
    </w:pPr>
    <w:rPr>
      <w:rFonts w:ascii="Calibri" w:hAnsi="Calibr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BC42FB"/>
    <w:pPr>
      <w:ind w:left="1400"/>
    </w:pPr>
    <w:rPr>
      <w:rFonts w:ascii="Calibri" w:hAnsi="Calibr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BC42FB"/>
    <w:pPr>
      <w:ind w:left="1680"/>
    </w:pPr>
    <w:rPr>
      <w:rFonts w:ascii="Calibri" w:hAnsi="Calibr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BC42FB"/>
    <w:pPr>
      <w:ind w:left="1960"/>
    </w:pPr>
    <w:rPr>
      <w:rFonts w:ascii="Calibri" w:hAnsi="Calibr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BC42FB"/>
    <w:pPr>
      <w:ind w:left="2240"/>
    </w:pPr>
    <w:rPr>
      <w:rFonts w:ascii="Calibri" w:hAnsi="Calibri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1A8E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1A8E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1A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1A8E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1A8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1A8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F175E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80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AABB1-3CF0-4295-B90D-1910742AF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17989</TotalTime>
  <Pages>7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Watson Pharmaceuticals, Inc</Company>
  <LinksUpToDate>false</LinksUpToDate>
  <CharactersWithSpaces>10028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Ryan</dc:creator>
  <cp:lastModifiedBy>Raza, S.Rafeh</cp:lastModifiedBy>
  <cp:revision>38</cp:revision>
  <cp:lastPrinted>2017-03-23T16:53:00Z</cp:lastPrinted>
  <dcterms:created xsi:type="dcterms:W3CDTF">2016-11-16T23:45:00Z</dcterms:created>
  <dcterms:modified xsi:type="dcterms:W3CDTF">2017-04-03T17:54:00Z</dcterms:modified>
</cp:coreProperties>
</file>