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rFonts w:ascii="Aptos Display" w:hAnsi="Aptos Display"/>
          <w:b/>
          <w:color w:val="0B7A75"/>
          <w:sz w:val="26"/>
        </w:rPr>
        <w:t>VİZYON DERİ</w:t>
      </w:r>
    </w:p>
    <w:p>
      <w:pPr>
        <w:pStyle w:val="Title"/>
      </w:pPr>
      <w:r>
        <w:t>Talep ve Üretim</w:t>
        <w:br/>
        <w:t>Planlama Metodolojisi</w:t>
      </w:r>
    </w:p>
    <w:p>
      <w:r>
        <w:rPr>
          <w:rFonts w:ascii="Aptos" w:hAnsi="Aptos"/>
          <w:color w:val="0B7A75"/>
          <w:sz w:val="30"/>
        </w:rPr>
        <w:t>NetSuite metotlarının değerlendirmesi, önerilen hesaplama yöntemi ve çözüm kapsamı</w:t>
      </w:r>
    </w:p>
    <w:p>
      <w:r>
        <w:br/>
      </w:r>
    </w:p>
    <w:tbl>
      <w:tblPr>
        <w:tblW w:type="auto" w:w="0"/>
        <w:tblLayout w:type="fixed"/>
        <w:tblLook w:firstColumn="1" w:firstRow="1" w:lastColumn="0" w:lastRow="0" w:noHBand="0" w:noVBand="1" w:val="04A0"/>
      </w:tblPr>
      <w:tblGrid>
        <w:gridCol w:w="4957"/>
        <w:gridCol w:w="4957"/>
      </w:tblGrid>
      <w:tr>
        <w:tc>
          <w:tcPr>
            <w:tcW w:type="dxa" w:w="142"/>
            <w:shd w:fill="0B7A75"/>
            <w:tcMar>
              <w:top w:w="30" w:type="dxa"/>
              <w:start w:w="20" w:type="dxa"/>
              <w:bottom w:w="30" w:type="dxa"/>
              <w:end w:w="20" w:type="dxa"/>
            </w:tcMar>
          </w:tcPr>
          <w:p/>
        </w:tc>
        <w:tc>
          <w:tcPr>
            <w:tcW w:type="dxa" w:w="9071"/>
            <w:shd w:fill="E5F4F2"/>
            <w:tcMar>
              <w:top w:w="150" w:type="dxa"/>
              <w:start w:w="220" w:type="dxa"/>
              <w:bottom w:w="150" w:type="dxa"/>
              <w:end w:w="220" w:type="dxa"/>
            </w:tcMar>
          </w:tcPr>
          <w:p>
            <w:pPr>
              <w:spacing w:after="80"/>
            </w:pPr>
            <w:r/>
            <w:r>
              <w:rPr>
                <w:rFonts w:ascii="Aptos Display" w:hAnsi="Aptos Display"/>
                <w:b/>
                <w:color w:val="0B7A75"/>
                <w:sz w:val="22"/>
              </w:rPr>
              <w:t>Belgenin amacı</w:t>
            </w:r>
          </w:p>
          <w:p>
            <w:pPr>
              <w:spacing w:after="0"/>
            </w:pPr>
            <w:r>
              <w:t>NetSuite Demand Planning içindeki Moving Average, Linear Regression ve Seasonal Average metotlarının Vizyon Deri'nin mevcut veri yapısında neden ana üretim yöntemi olamadığını; önerilen yöntemin hangi hesapları, düzeltmeleri ve karar kurallarını kullandığını ayrıntılı biçimde açıklamak.</w:t>
            </w:r>
          </w:p>
        </w:tc>
      </w:tr>
    </w:tbl>
    <w:p>
      <w:pPr>
        <w:spacing w:after="0"/>
      </w:pP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381"/>
            <w:vAlign w:val="center"/>
            <w:tcMar>
              <w:top w:w="100" w:type="dxa"/>
              <w:start w:w="120" w:type="dxa"/>
              <w:bottom w:w="100" w:type="dxa"/>
              <w:end w:w="120" w:type="dxa"/>
            </w:tcMar>
            <w:shd w:fill="17324D"/>
          </w:tcPr>
          <w:p>
            <w:pPr>
              <w:spacing w:after="0"/>
            </w:pPr>
            <w:r/>
            <w:r>
              <w:rPr>
                <w:rFonts w:ascii="Aptos" w:hAnsi="Aptos"/>
                <w:b/>
                <w:color w:val="FFFFFF"/>
                <w:sz w:val="16"/>
              </w:rPr>
              <w:t>Belge</w:t>
            </w:r>
          </w:p>
        </w:tc>
        <w:tc>
          <w:tcPr>
            <w:tcW w:type="dxa" w:w="6860"/>
            <w:vAlign w:val="center"/>
            <w:tcMar>
              <w:top w:w="100" w:type="dxa"/>
              <w:start w:w="120" w:type="dxa"/>
              <w:bottom w:w="100" w:type="dxa"/>
              <w:end w:w="120" w:type="dxa"/>
            </w:tcMar>
            <w:shd w:fill="17324D"/>
          </w:tcPr>
          <w:p>
            <w:pPr>
              <w:spacing w:after="0"/>
            </w:pPr>
            <w:r/>
            <w:r>
              <w:rPr>
                <w:rFonts w:ascii="Aptos" w:hAnsi="Aptos"/>
                <w:b/>
                <w:color w:val="FFFFFF"/>
                <w:sz w:val="16"/>
              </w:rPr>
              <w:t>Bilgi</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8"/>
              </w:rPr>
              <w:t>Tarih</w:t>
            </w:r>
          </w:p>
        </w:tc>
        <w:tc>
          <w:tcPr>
            <w:tcW w:type="dxa" w:w="6860"/>
            <w:vAlign w:val="center"/>
            <w:tcMar>
              <w:top w:w="100" w:type="dxa"/>
              <w:start w:w="120" w:type="dxa"/>
              <w:bottom w:w="100" w:type="dxa"/>
              <w:end w:w="120" w:type="dxa"/>
            </w:tcMar>
          </w:tcPr>
          <w:p>
            <w:pPr>
              <w:spacing w:after="0"/>
            </w:pPr>
            <w:r/>
            <w:r>
              <w:rPr>
                <w:rFonts w:ascii="Aptos" w:hAnsi="Aptos"/>
                <w:b w:val="0"/>
                <w:color w:val="202B33"/>
                <w:sz w:val="18"/>
              </w:rPr>
              <w:t>6 Ekim 2026</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8"/>
              </w:rPr>
              <w:t>Sürüm</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8"/>
              </w:rPr>
              <w:t>1.0</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8"/>
              </w:rPr>
              <w:t>Kaynaklar</w:t>
            </w:r>
          </w:p>
        </w:tc>
        <w:tc>
          <w:tcPr>
            <w:tcW w:type="dxa" w:w="6860"/>
            <w:vAlign w:val="center"/>
            <w:tcMar>
              <w:top w:w="100" w:type="dxa"/>
              <w:start w:w="120" w:type="dxa"/>
              <w:bottom w:w="100" w:type="dxa"/>
              <w:end w:w="120" w:type="dxa"/>
            </w:tcMar>
          </w:tcPr>
          <w:p>
            <w:pPr>
              <w:spacing w:after="0"/>
            </w:pPr>
            <w:r/>
            <w:r>
              <w:rPr>
                <w:rFonts w:ascii="Aptos" w:hAnsi="Aptos"/>
                <w:b w:val="0"/>
                <w:color w:val="202B33"/>
                <w:sz w:val="18"/>
              </w:rPr>
              <w:t>vizyon plan.txt ve proje yöntem/varsayım belgeleri</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8"/>
              </w:rPr>
              <w:t>Kapsam dışı anlatım</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8"/>
              </w:rPr>
              <w:t>Ürünün neden NetSuite dışında konumlandığı — Vizyon Deri tarafından bilinen konu</w:t>
            </w:r>
          </w:p>
        </w:tc>
      </w:tr>
    </w:tbl>
    <w:p>
      <w:pPr>
        <w:spacing w:after="0"/>
      </w:pPr>
    </w:p>
    <w:p>
      <w:pPr>
        <w:jc w:val="center"/>
      </w:pPr>
      <w:r>
        <w:rPr>
          <w:b/>
          <w:color w:val="66717E"/>
          <w:sz w:val="16"/>
        </w:rPr>
        <w:t>GİZLİ — Vizyon Deri ile paylaşım amaçlıdır.</w:t>
      </w:r>
    </w:p>
    <w:p>
      <w:r>
        <w:br w:type="page"/>
      </w:r>
    </w:p>
    <w:p>
      <w:pPr>
        <w:pStyle w:val="Heading1"/>
      </w:pPr>
      <w:r>
        <w:t>İçindekiler</w:t>
      </w:r>
    </w:p>
    <w:p>
      <w:r>
        <w:fldChar w:fldCharType="begin"/>
        <w:instrText xml:space="preserve">TOC \o "1-3" \h \z \u</w:instrText>
        <w:fldChar w:fldCharType="separate">
          <w:t>İçindekiler alanını Word'de güncelleyiniz.</w:t>
        </w:fldChar>
        <w:fldChar w:fldCharType="end"/>
      </w:r>
    </w:p>
    <w:p>
      <w:r>
        <w:t>Word'de içindekiler alanına sağ tıklayarak “Alanı Güncelleştir” seçilebilir.</w:t>
      </w:r>
    </w:p>
    <w:p>
      <w:r>
        <w:br w:type="page"/>
      </w:r>
    </w:p>
    <w:p>
      <w:pPr>
        <w:pStyle w:val="Heading1"/>
      </w:pPr>
      <w:r>
        <w:t>1. Yönetici özeti</w:t>
      </w:r>
    </w:p>
    <w:p>
      <w:r>
        <w:t>NetSuite'in tahmin metotları matematiksel olarak çalışır; ancak Vizyon Deri'nin bugünkü verisine doğrudan uygulandığında yöntem varsayımları veri gerçekliğiyle örtüşmez. Kullanılabilir geçmiş yaklaşık bir yıldır. Bu süre içinde ürün kodu değişimleri, güçlü sezon etkisi, stockout, kampanya, iade ve seyrek beden satışları bulunmaktadır. Dolayısıyla gözlenen satış serisi her zaman gerçek talebi temsil etmez. Yanlış veya eksik sinyali daha gelişmiş bir modele vermek daha doğru sonuç değil, daha ikna edici görünen yanlış sonuç üretir.</w:t>
      </w:r>
    </w:p>
    <w:p>
      <w:r>
        <w:t>Önerilen yaklaşım; önce ürün geçmişini eski-yeni kodlar arasında birleştirir, sonra karşılaştırılabilir dönemdeki düzeltilmiş net talebi hesaplar. Talep referans ve plan dönemi uzunluğuna göre normalize edilir, onaylı büyüme/daralma uygulanır. Ardından model-renk toplamı bedenlere dağıtılır; erişilebilir stok ve plan ufkuna yetişen arz düşülür, güvenlik stoğu eklenir, ham ihtiyaç MOQ ve üretim katına yuvarlanır. Bu nedenle bizim yöntemimiz yalnızca bir forecast metodu değil, forecast'i üretim kararına dönüştüren hesap zinciridir.</w:t>
      </w:r>
    </w:p>
    <w:tbl>
      <w:tblPr>
        <w:tblW w:type="auto" w:w="0"/>
        <w:tblLayout w:type="fixed"/>
        <w:tblLook w:firstColumn="1" w:firstRow="1" w:lastColumn="0" w:lastRow="0" w:noHBand="0" w:noVBand="1" w:val="04A0"/>
      </w:tblPr>
      <w:tblGrid>
        <w:gridCol w:w="4957"/>
        <w:gridCol w:w="4957"/>
      </w:tblGrid>
      <w:tr>
        <w:tc>
          <w:tcPr>
            <w:tcW w:type="dxa" w:w="142"/>
            <w:shd w:fill="0B7A75"/>
            <w:tcMar>
              <w:top w:w="30" w:type="dxa"/>
              <w:start w:w="20" w:type="dxa"/>
              <w:bottom w:w="30" w:type="dxa"/>
              <w:end w:w="20" w:type="dxa"/>
            </w:tcMar>
          </w:tcPr>
          <w:p/>
        </w:tc>
        <w:tc>
          <w:tcPr>
            <w:tcW w:type="dxa" w:w="9071"/>
            <w:shd w:fill="E5F4F2"/>
            <w:tcMar>
              <w:top w:w="150" w:type="dxa"/>
              <w:start w:w="220" w:type="dxa"/>
              <w:bottom w:w="150" w:type="dxa"/>
              <w:end w:w="220" w:type="dxa"/>
            </w:tcMar>
          </w:tcPr>
          <w:p>
            <w:pPr>
              <w:spacing w:after="80"/>
            </w:pPr>
            <w:r/>
            <w:r>
              <w:rPr>
                <w:rFonts w:ascii="Aptos Display" w:hAnsi="Aptos Display"/>
                <w:b/>
                <w:color w:val="0B7A75"/>
                <w:sz w:val="22"/>
              </w:rPr>
              <w:t>Yöntem kararı</w:t>
            </w:r>
          </w:p>
          <w:p>
            <w:pPr>
              <w:spacing w:after="0"/>
            </w:pPr>
            <w:r>
              <w:t>Ana yöntem: karşılaştırılabilir dönem deterministik net talep. Kontrol: 8/13/26 haftalık Moving Average. Challenger: yalnızca uygun serilerde Linear Regression. Seasonal Average: ikinci veya tercihen üçüncü tam sezondan sonra karşılaştırmalı değerlendirme.</w:t>
            </w:r>
          </w:p>
        </w:tc>
      </w:tr>
    </w:tbl>
    <w:p>
      <w:pPr>
        <w:spacing w:after="0"/>
      </w:pP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608"/>
            <w:vAlign w:val="center"/>
            <w:tcMar>
              <w:top w:w="100" w:type="dxa"/>
              <w:start w:w="120" w:type="dxa"/>
              <w:bottom w:w="100" w:type="dxa"/>
              <w:end w:w="120" w:type="dxa"/>
            </w:tcMar>
            <w:shd w:fill="17324D"/>
          </w:tcPr>
          <w:p>
            <w:pPr>
              <w:spacing w:after="0"/>
            </w:pPr>
            <w:r/>
            <w:r>
              <w:rPr>
                <w:rFonts w:ascii="Aptos" w:hAnsi="Aptos"/>
                <w:b/>
                <w:color w:val="FFFFFF"/>
                <w:sz w:val="16"/>
              </w:rPr>
              <w:t>Soru</w:t>
            </w:r>
          </w:p>
        </w:tc>
        <w:tc>
          <w:tcPr>
            <w:tcW w:type="dxa" w:w="6633"/>
            <w:vAlign w:val="center"/>
            <w:tcMar>
              <w:top w:w="100" w:type="dxa"/>
              <w:start w:w="120" w:type="dxa"/>
              <w:bottom w:w="100" w:type="dxa"/>
              <w:end w:w="120" w:type="dxa"/>
            </w:tcMar>
            <w:shd w:fill="17324D"/>
          </w:tcPr>
          <w:p>
            <w:pPr>
              <w:spacing w:after="0"/>
            </w:pPr>
            <w:r/>
            <w:r>
              <w:rPr>
                <w:rFonts w:ascii="Aptos" w:hAnsi="Aptos"/>
                <w:b/>
                <w:color w:val="FFFFFF"/>
                <w:sz w:val="16"/>
              </w:rPr>
              <w:t>Kısa cevap</w:t>
            </w:r>
          </w:p>
        </w:tc>
      </w:tr>
      <w:tr>
        <w:trPr>
          <w:cantSplit/>
        </w:trPr>
        <w:tc>
          <w:tcPr>
            <w:tcW w:type="dxa" w:w="2608"/>
            <w:vAlign w:val="center"/>
            <w:tcMar>
              <w:top w:w="100" w:type="dxa"/>
              <w:start w:w="120" w:type="dxa"/>
              <w:bottom w:w="100" w:type="dxa"/>
              <w:end w:w="120" w:type="dxa"/>
            </w:tcMar>
          </w:tcPr>
          <w:p>
            <w:pPr>
              <w:spacing w:after="0"/>
            </w:pPr>
            <w:r/>
            <w:r>
              <w:rPr>
                <w:rFonts w:ascii="Aptos" w:hAnsi="Aptos"/>
                <w:b w:val="0"/>
                <w:color w:val="202B33"/>
                <w:sz w:val="18"/>
              </w:rPr>
              <w:t>Neden Moving Average değil?</w:t>
            </w:r>
          </w:p>
        </w:tc>
        <w:tc>
          <w:tcPr>
            <w:tcW w:type="dxa" w:w="6633"/>
            <w:vAlign w:val="center"/>
            <w:tcMar>
              <w:top w:w="100" w:type="dxa"/>
              <w:start w:w="120" w:type="dxa"/>
              <w:bottom w:w="100" w:type="dxa"/>
              <w:end w:w="120" w:type="dxa"/>
            </w:tcMar>
          </w:tcPr>
          <w:p>
            <w:pPr>
              <w:spacing w:after="0"/>
            </w:pPr>
            <w:r/>
            <w:r>
              <w:rPr>
                <w:rFonts w:ascii="Aptos" w:hAnsi="Aptos"/>
                <w:b w:val="0"/>
                <w:color w:val="202B33"/>
                <w:sz w:val="18"/>
              </w:rPr>
              <w:t>Aynı ortalamayı geleceğe taşır; sezon profilini ve yakın dönem kırılmasını tek başına doğru temsil etmez.</w:t>
            </w:r>
          </w:p>
        </w:tc>
      </w:tr>
      <w:tr>
        <w:trPr>
          <w:cantSplit/>
        </w:trPr>
        <w:tc>
          <w:tcPr>
            <w:tcW w:type="dxa" w:w="2608"/>
            <w:vAlign w:val="center"/>
            <w:tcMar>
              <w:top w:w="100" w:type="dxa"/>
              <w:start w:w="120" w:type="dxa"/>
              <w:bottom w:w="100" w:type="dxa"/>
              <w:end w:w="120" w:type="dxa"/>
            </w:tcMar>
            <w:shd w:fill="F3F5F7"/>
          </w:tcPr>
          <w:p>
            <w:pPr>
              <w:spacing w:after="0"/>
            </w:pPr>
            <w:r/>
            <w:r>
              <w:rPr>
                <w:rFonts w:ascii="Aptos" w:hAnsi="Aptos"/>
                <w:b w:val="0"/>
                <w:color w:val="202B33"/>
                <w:sz w:val="18"/>
              </w:rPr>
              <w:t>Neden Linear Regression değil?</w:t>
            </w:r>
          </w:p>
        </w:tc>
        <w:tc>
          <w:tcPr>
            <w:tcW w:type="dxa" w:w="6633"/>
            <w:vAlign w:val="center"/>
            <w:tcMar>
              <w:top w:w="100" w:type="dxa"/>
              <w:start w:w="120" w:type="dxa"/>
              <w:bottom w:w="100" w:type="dxa"/>
              <w:end w:w="120" w:type="dxa"/>
            </w:tcMar>
            <w:shd w:fill="F3F5F7"/>
          </w:tcPr>
          <w:p>
            <w:pPr>
              <w:spacing w:after="0"/>
            </w:pPr>
            <w:r/>
            <w:r>
              <w:rPr>
                <w:rFonts w:ascii="Aptos" w:hAnsi="Aptos"/>
                <w:b w:val="0"/>
                <w:color w:val="202B33"/>
                <w:sz w:val="18"/>
              </w:rPr>
              <w:t>Stockout, kampanya ve sezon sonunu trend sanabilir; seyrek beden serilerinde kararsızdır.</w:t>
            </w:r>
          </w:p>
        </w:tc>
      </w:tr>
      <w:tr>
        <w:trPr>
          <w:cantSplit/>
        </w:trPr>
        <w:tc>
          <w:tcPr>
            <w:tcW w:type="dxa" w:w="2608"/>
            <w:vAlign w:val="center"/>
            <w:tcMar>
              <w:top w:w="100" w:type="dxa"/>
              <w:start w:w="120" w:type="dxa"/>
              <w:bottom w:w="100" w:type="dxa"/>
              <w:end w:w="120" w:type="dxa"/>
            </w:tcMar>
          </w:tcPr>
          <w:p>
            <w:pPr>
              <w:spacing w:after="0"/>
            </w:pPr>
            <w:r/>
            <w:r>
              <w:rPr>
                <w:rFonts w:ascii="Aptos" w:hAnsi="Aptos"/>
                <w:b w:val="0"/>
                <w:color w:val="202B33"/>
                <w:sz w:val="18"/>
              </w:rPr>
              <w:t>Neden Seasonal Average değil?</w:t>
            </w:r>
          </w:p>
        </w:tc>
        <w:tc>
          <w:tcPr>
            <w:tcW w:type="dxa" w:w="6633"/>
            <w:vAlign w:val="center"/>
            <w:tcMar>
              <w:top w:w="100" w:type="dxa"/>
              <w:start w:w="120" w:type="dxa"/>
              <w:bottom w:w="100" w:type="dxa"/>
              <w:end w:w="120" w:type="dxa"/>
            </w:tcMar>
          </w:tcPr>
          <w:p>
            <w:pPr>
              <w:spacing w:after="0"/>
            </w:pPr>
            <w:r/>
            <w:r>
              <w:rPr>
                <w:rFonts w:ascii="Aptos" w:hAnsi="Aptos"/>
                <w:b w:val="0"/>
                <w:color w:val="202B33"/>
                <w:sz w:val="18"/>
              </w:rPr>
              <w:t>Tek yıl her ay için tek gözlem sunar; NetSuite'te yalnızca aylık projeksiyonla çalışır.</w:t>
            </w:r>
          </w:p>
        </w:tc>
      </w:tr>
      <w:tr>
        <w:trPr>
          <w:cantSplit/>
        </w:trPr>
        <w:tc>
          <w:tcPr>
            <w:tcW w:type="dxa" w:w="2608"/>
            <w:vAlign w:val="center"/>
            <w:tcMar>
              <w:top w:w="100" w:type="dxa"/>
              <w:start w:w="120" w:type="dxa"/>
              <w:bottom w:w="100" w:type="dxa"/>
              <w:end w:w="120" w:type="dxa"/>
            </w:tcMar>
            <w:shd w:fill="F3F5F7"/>
          </w:tcPr>
          <w:p>
            <w:pPr>
              <w:spacing w:after="0"/>
            </w:pPr>
            <w:r/>
            <w:r>
              <w:rPr>
                <w:rFonts w:ascii="Aptos" w:hAnsi="Aptos"/>
                <w:b w:val="0"/>
                <w:color w:val="202B33"/>
                <w:sz w:val="18"/>
              </w:rPr>
              <w:t>Neden bizim yöntem?</w:t>
            </w:r>
          </w:p>
        </w:tc>
        <w:tc>
          <w:tcPr>
            <w:tcW w:type="dxa" w:w="6633"/>
            <w:vAlign w:val="center"/>
            <w:tcMar>
              <w:top w:w="100" w:type="dxa"/>
              <w:start w:w="120" w:type="dxa"/>
              <w:bottom w:w="100" w:type="dxa"/>
              <w:end w:w="120" w:type="dxa"/>
            </w:tcMar>
            <w:shd w:fill="F3F5F7"/>
          </w:tcPr>
          <w:p>
            <w:pPr>
              <w:spacing w:after="0"/>
            </w:pPr>
            <w:r/>
            <w:r>
              <w:rPr>
                <w:rFonts w:ascii="Aptos" w:hAnsi="Aptos"/>
                <w:b w:val="0"/>
                <w:color w:val="202B33"/>
                <w:sz w:val="18"/>
              </w:rPr>
              <w:t>Mevcut veri sınırını açıkça kabul eder; ürün sürekliliğini, veri düzeltmelerini ve üretim kurallarını aynı hesapta birleştirir.</w:t>
            </w:r>
          </w:p>
        </w:tc>
      </w:tr>
    </w:tbl>
    <w:p>
      <w:pPr>
        <w:spacing w:after="0"/>
      </w:pPr>
    </w:p>
    <w:p>
      <w:pPr>
        <w:pStyle w:val="Heading1"/>
      </w:pPr>
      <w:r>
        <w:t>2. Yöntem seçimindeki veri gerçekliği</w:t>
      </w:r>
    </w:p>
    <w:p>
      <w:pPr>
        <w:pStyle w:val="Heading2"/>
      </w:pPr>
      <w:r>
        <w:t>2.1 Bir yıllık veri neden kritik bir kısıttır?</w:t>
      </w:r>
    </w:p>
    <w:p>
      <w:r>
        <w:t>Haftalık toplamda 52 gözlem var gibi görünse de tahmin seviyesi model × renk × beden × kanal olduğunda her seri çok daha az satış gözlemi içerir. Ürün sezon ortasında açılmış, bazı haftalarda stokta bulunmamış veya kodu değiştirilmiş olabilir. Bu durumda 52 takvim haftası, 52 bağımsız ve temiz talep gözlemi değildir.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Görünen veri</w:t>
            </w:r>
          </w:p>
        </w:tc>
        <w:tc>
          <w:tcPr>
            <w:tcW w:type="dxa" w:w="3572"/>
            <w:vAlign w:val="center"/>
            <w:tcMar>
              <w:top w:w="100" w:type="dxa"/>
              <w:start w:w="120" w:type="dxa"/>
              <w:bottom w:w="100" w:type="dxa"/>
              <w:end w:w="120" w:type="dxa"/>
            </w:tcMar>
            <w:shd w:fill="17324D"/>
          </w:tcPr>
          <w:p>
            <w:pPr>
              <w:spacing w:after="0"/>
            </w:pPr>
            <w:r/>
            <w:r>
              <w:rPr>
                <w:rFonts w:ascii="Aptos" w:hAnsi="Aptos"/>
                <w:b/>
                <w:color w:val="FFFFFF"/>
                <w:sz w:val="16"/>
              </w:rPr>
              <w:t>Gerçek durum</w:t>
            </w:r>
          </w:p>
        </w:tc>
        <w:tc>
          <w:tcPr>
            <w:tcW w:type="dxa" w:w="3345"/>
            <w:vAlign w:val="center"/>
            <w:tcMar>
              <w:top w:w="100" w:type="dxa"/>
              <w:start w:w="120" w:type="dxa"/>
              <w:bottom w:w="100" w:type="dxa"/>
              <w:end w:w="120" w:type="dxa"/>
            </w:tcMar>
            <w:shd w:fill="17324D"/>
          </w:tcPr>
          <w:p>
            <w:pPr>
              <w:spacing w:after="0"/>
            </w:pPr>
            <w:r/>
            <w:r>
              <w:rPr>
                <w:rFonts w:ascii="Aptos" w:hAnsi="Aptos"/>
                <w:b/>
                <w:color w:val="FFFFFF"/>
                <w:sz w:val="16"/>
              </w:rPr>
              <w:t>Metoda etkisi</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6"/>
              </w:rPr>
              <w:t>52 haftalık satış</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Ürün yalnızca 18 hafta aktif veya stokta</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Regression eğimi ve ortalama seviyesi güvenilmez</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6"/>
              </w:rPr>
              <w:t>12 aylık sezon</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6"/>
              </w:rPr>
              <w:t>Her ay yalnızca bir kez gözlenmiş</w:t>
            </w:r>
          </w:p>
        </w:tc>
        <w:tc>
          <w:tcPr>
            <w:tcW w:type="dxa" w:w="3345"/>
            <w:vAlign w:val="center"/>
            <w:tcMar>
              <w:top w:w="100" w:type="dxa"/>
              <w:start w:w="120" w:type="dxa"/>
              <w:bottom w:w="100" w:type="dxa"/>
              <w:end w:w="120" w:type="dxa"/>
            </w:tcMar>
            <w:shd w:fill="F3F5F7"/>
          </w:tcPr>
          <w:p>
            <w:pPr>
              <w:spacing w:after="0"/>
            </w:pPr>
            <w:r/>
            <w:r>
              <w:rPr>
                <w:rFonts w:ascii="Aptos" w:hAnsi="Aptos"/>
                <w:b w:val="0"/>
                <w:color w:val="202B33"/>
                <w:sz w:val="16"/>
              </w:rPr>
              <w:t>Seasonal Average tek seferlik olayı sezon sanabilir</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6"/>
              </w:rPr>
              <w:t>Her beden için satış</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Bazı bedenlerde birkaç adet ve uzun sıfır serisi</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Beden bazında ayrı model aşırı oynak olur</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6"/>
              </w:rPr>
              <w:t>Sıfır satış</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6"/>
              </w:rPr>
              <w:t>Talep yokluğu veya stok yokluğu olabilir</w:t>
            </w:r>
          </w:p>
        </w:tc>
        <w:tc>
          <w:tcPr>
            <w:tcW w:type="dxa" w:w="3345"/>
            <w:vAlign w:val="center"/>
            <w:tcMar>
              <w:top w:w="100" w:type="dxa"/>
              <w:start w:w="120" w:type="dxa"/>
              <w:bottom w:w="100" w:type="dxa"/>
              <w:end w:w="120" w:type="dxa"/>
            </w:tcMar>
            <w:shd w:fill="F3F5F7"/>
          </w:tcPr>
          <w:p>
            <w:pPr>
              <w:spacing w:after="0"/>
            </w:pPr>
            <w:r/>
            <w:r>
              <w:rPr>
                <w:rFonts w:ascii="Aptos" w:hAnsi="Aptos"/>
                <w:b w:val="0"/>
                <w:color w:val="202B33"/>
                <w:sz w:val="16"/>
              </w:rPr>
              <w:t>Bütün yöntemlerde aşağı yönlü bias</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6"/>
              </w:rPr>
              <w:t>Yeni SKU</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Eski kodla aynı ticari ürün olabilir</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Geçmiş yok sanılır; yöntem yanlış başlangıç seviyesi alır</w:t>
            </w:r>
          </w:p>
        </w:tc>
      </w:tr>
    </w:tbl>
    <w:p>
      <w:pPr>
        <w:spacing w:after="0"/>
      </w:pPr>
    </w:p>
    <w:p>
      <w:pPr>
        <w:pStyle w:val="Heading2"/>
      </w:pPr>
      <w:r>
        <w:t>2.2 Gözlenen satış ile gerçek talep arasındaki fark</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Gözlenen satış = min(gerçek talep, satılabilir stok ve erişim)</w:t>
            </w:r>
            <w:r>
              <w:br/>
            </w:r>
            <w:r>
              <w:rPr>
                <w:rFonts w:ascii="Aptos Mono" w:hAnsi="Aptos Mono"/>
                <w:b/>
                <w:color w:val="FFFFFF"/>
                <w:sz w:val="19"/>
              </w:rPr>
              <w:t>Bu nedenle satış &lt; gerçek talep olabilir</w:t>
            </w:r>
          </w:p>
        </w:tc>
      </w:tr>
    </w:tbl>
    <w:p>
      <w:pPr>
        <w:jc w:val="center"/>
      </w:pPr>
      <w:r>
        <w:rPr>
          <w:i/>
          <w:color w:val="66717E"/>
          <w:sz w:val="17"/>
        </w:rPr>
        <w:t>Stok veya kanal erişimi kısıtlıysa satış verisi talebi sansürler.</w:t>
      </w:r>
    </w:p>
    <w:p>
      <w:r>
        <w:t>Bir ürün iki hafta stokta olmadığı için sıfır sattıysa, Moving Average bu sıfırları ortalamaya katar; Linear Regression düşüş olarak yorumlayabilir; Seasonal Average aynı haftayı/ayı gelecek sezon için düşük referans kabul edebilir. Metotların üçü de farklı matematik kullansa da aynı kirli girdiden etkilenir. Bu nedenle yöntem seçiminden önce stockout işaretleme zorunludur.</w:t>
      </w:r>
    </w:p>
    <w:p>
      <w:pPr>
        <w:pStyle w:val="Heading2"/>
      </w:pPr>
      <w:r>
        <w:t>2.3 Ürün kodu değişimi neden yöntemden önce gelir?</w:t>
      </w:r>
    </w:p>
    <w:p>
      <w:r>
        <w:t>Aynı ticari ürün ERP geçişi öncesi ve sonrasında farklı SKU ile tutuluyorsa yeni kod geçmişsiz görünür. Hiçbir tahmin metodu sistemin aynı ürünü iki farklı varlık sandığı problemi kendiliğinden çözemez. Ön koşul; eski ve yeni item/SKU'yu kanonik model, renk ve beden kimliğine bağlamaktır.</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2551"/>
            <w:vAlign w:val="center"/>
            <w:tcMar>
              <w:top w:w="100" w:type="dxa"/>
              <w:start w:w="120" w:type="dxa"/>
              <w:bottom w:w="100" w:type="dxa"/>
              <w:end w:w="120" w:type="dxa"/>
            </w:tcMar>
            <w:shd w:fill="17324D"/>
          </w:tcPr>
          <w:p>
            <w:pPr>
              <w:spacing w:after="0"/>
            </w:pPr>
            <w:r/>
            <w:r>
              <w:rPr>
                <w:rFonts w:ascii="Aptos" w:hAnsi="Aptos"/>
                <w:b/>
                <w:color w:val="FFFFFF"/>
                <w:sz w:val="16"/>
              </w:rPr>
              <w:t>Eski SKU</w:t>
            </w:r>
          </w:p>
        </w:tc>
        <w:tc>
          <w:tcPr>
            <w:tcW w:type="dxa" w:w="2381"/>
            <w:vAlign w:val="center"/>
            <w:tcMar>
              <w:top w:w="100" w:type="dxa"/>
              <w:start w:w="120" w:type="dxa"/>
              <w:bottom w:w="100" w:type="dxa"/>
              <w:end w:w="120" w:type="dxa"/>
            </w:tcMar>
            <w:shd w:fill="17324D"/>
          </w:tcPr>
          <w:p>
            <w:pPr>
              <w:spacing w:after="0"/>
            </w:pPr>
            <w:r/>
            <w:r>
              <w:rPr>
                <w:rFonts w:ascii="Aptos" w:hAnsi="Aptos"/>
                <w:b/>
                <w:color w:val="FFFFFF"/>
                <w:sz w:val="16"/>
              </w:rPr>
              <w:t>Yeni SKU</w:t>
            </w:r>
          </w:p>
        </w:tc>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Kanonik kimlik</w:t>
            </w:r>
          </w:p>
        </w:tc>
        <w:tc>
          <w:tcPr>
            <w:tcW w:type="dxa" w:w="1984"/>
            <w:vAlign w:val="center"/>
            <w:tcMar>
              <w:top w:w="100" w:type="dxa"/>
              <w:start w:w="120" w:type="dxa"/>
              <w:bottom w:w="100" w:type="dxa"/>
              <w:end w:w="120" w:type="dxa"/>
            </w:tcMar>
            <w:shd w:fill="17324D"/>
          </w:tcPr>
          <w:p>
            <w:pPr>
              <w:spacing w:after="0"/>
            </w:pPr>
            <w:r/>
            <w:r>
              <w:rPr>
                <w:rFonts w:ascii="Aptos" w:hAnsi="Aptos"/>
                <w:b/>
                <w:color w:val="FFFFFF"/>
                <w:sz w:val="16"/>
              </w:rPr>
              <w:t>Eşleme bilgisi</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color w:val="202B33"/>
                <w:sz w:val="17"/>
              </w:rPr>
              <w:t>MONT-LYZA-KAHVE-38</w:t>
            </w:r>
          </w:p>
        </w:tc>
        <w:tc>
          <w:tcPr>
            <w:tcW w:type="dxa" w:w="2381"/>
            <w:vAlign w:val="center"/>
            <w:tcMar>
              <w:top w:w="100" w:type="dxa"/>
              <w:start w:w="120" w:type="dxa"/>
              <w:bottom w:w="100" w:type="dxa"/>
              <w:end w:w="120" w:type="dxa"/>
            </w:tcMar>
          </w:tcPr>
          <w:p>
            <w:pPr>
              <w:spacing w:after="0"/>
            </w:pPr>
            <w:r/>
            <w:r>
              <w:rPr>
                <w:rFonts w:ascii="Aptos" w:hAnsi="Aptos"/>
                <w:b w:val="0"/>
                <w:color w:val="202B33"/>
                <w:sz w:val="17"/>
              </w:rPr>
              <w:t>KK61450-BROWN-38</w:t>
            </w:r>
          </w:p>
        </w:tc>
        <w:tc>
          <w:tcPr>
            <w:tcW w:type="dxa" w:w="2324"/>
            <w:vAlign w:val="center"/>
            <w:tcMar>
              <w:top w:w="100" w:type="dxa"/>
              <w:start w:w="120" w:type="dxa"/>
              <w:bottom w:w="100" w:type="dxa"/>
              <w:end w:w="120" w:type="dxa"/>
            </w:tcMar>
          </w:tcPr>
          <w:p>
            <w:pPr>
              <w:spacing w:after="0"/>
            </w:pPr>
            <w:r/>
            <w:r>
              <w:rPr>
                <w:rFonts w:ascii="Aptos" w:hAnsi="Aptos"/>
                <w:b w:val="0"/>
                <w:color w:val="202B33"/>
                <w:sz w:val="17"/>
              </w:rPr>
              <w:t>LYZA / BROWN / 38</w:t>
            </w:r>
          </w:p>
        </w:tc>
        <w:tc>
          <w:tcPr>
            <w:tcW w:type="dxa" w:w="1984"/>
            <w:vAlign w:val="center"/>
            <w:tcMar>
              <w:top w:w="100" w:type="dxa"/>
              <w:start w:w="120" w:type="dxa"/>
              <w:bottom w:w="100" w:type="dxa"/>
              <w:end w:w="120" w:type="dxa"/>
            </w:tcMar>
          </w:tcPr>
          <w:p>
            <w:pPr>
              <w:spacing w:after="0"/>
            </w:pPr>
            <w:r/>
            <w:r>
              <w:rPr>
                <w:rFonts w:ascii="Aptos" w:hAnsi="Aptos"/>
                <w:b w:val="0"/>
                <w:color w:val="202B33"/>
                <w:sz w:val="17"/>
              </w:rPr>
              <w:t>Kesin / manuel / benzer + güven skoru</w:t>
            </w:r>
          </w:p>
        </w:tc>
      </w:tr>
    </w:tbl>
    <w:p>
      <w:pPr>
        <w:spacing w:after="0"/>
      </w:pPr>
    </w:p>
    <w:p>
      <w:pPr>
        <w:pStyle w:val="Heading1"/>
      </w:pPr>
      <w:r>
        <w:t>3. NetSuite metotları neden ana yöntem olmuyor?</w:t>
      </w:r>
    </w:p>
    <w:p>
      <w:r>
        <w:t>Oracle dokümantasyonunda NetSuite; Linear Regression, Moving Average, Seasonal Average ve Sales Forecast seçeneklerini sunar. Buradaki değerlendirme özelliklerin varlığına değil, bu metotların varsayımlarının Vizyon Deri'nin mevcut veri koşullarıyla uyumuna ilişkindir [1][2].</w:t>
      </w:r>
    </w:p>
    <w:p>
      <w:pPr>
        <w:pStyle w:val="Heading2"/>
      </w:pPr>
      <w:r>
        <w:t>3.1 Moving Average</w:t>
      </w:r>
    </w:p>
    <w:p>
      <w:r>
        <w:t>NetSuite Moving Average seçilen geçmiş süre için ortalama talebi hesaplar ve Oracle'a göre aynı ortalamayı tüm gelecek projeksiyon dönemlerine uygular [1]. Bu, değişimi yumuşatan ve kolay açıklanan bir yöntemdir; fakat tahmin ufkundaki haftalar arasında farklı sezon profili üretmez.</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928"/>
            <w:vAlign w:val="center"/>
            <w:tcMar>
              <w:top w:w="100" w:type="dxa"/>
              <w:start w:w="120" w:type="dxa"/>
              <w:bottom w:w="100" w:type="dxa"/>
              <w:end w:w="120" w:type="dxa"/>
            </w:tcMar>
            <w:shd w:fill="17324D"/>
          </w:tcPr>
          <w:p>
            <w:pPr>
              <w:spacing w:after="0"/>
            </w:pPr>
            <w:r/>
            <w:r>
              <w:rPr>
                <w:rFonts w:ascii="Aptos" w:hAnsi="Aptos"/>
                <w:b/>
                <w:color w:val="FFFFFF"/>
                <w:sz w:val="16"/>
              </w:rPr>
              <w:t>Sorun</w:t>
            </w:r>
          </w:p>
        </w:tc>
        <w:tc>
          <w:tcPr>
            <w:tcW w:type="dxa" w:w="3969"/>
            <w:vAlign w:val="center"/>
            <w:tcMar>
              <w:top w:w="100" w:type="dxa"/>
              <w:start w:w="120" w:type="dxa"/>
              <w:bottom w:w="100" w:type="dxa"/>
              <w:end w:w="120" w:type="dxa"/>
            </w:tcMar>
            <w:shd w:fill="17324D"/>
          </w:tcPr>
          <w:p>
            <w:pPr>
              <w:spacing w:after="0"/>
            </w:pPr>
            <w:r/>
            <w:r>
              <w:rPr>
                <w:rFonts w:ascii="Aptos" w:hAnsi="Aptos"/>
                <w:b/>
                <w:color w:val="FFFFFF"/>
                <w:sz w:val="16"/>
              </w:rPr>
              <w:t>Neden oluşur?</w:t>
            </w:r>
          </w:p>
        </w:tc>
        <w:tc>
          <w:tcPr>
            <w:tcW w:type="dxa" w:w="3345"/>
            <w:vAlign w:val="center"/>
            <w:tcMar>
              <w:top w:w="100" w:type="dxa"/>
              <w:start w:w="120" w:type="dxa"/>
              <w:bottom w:w="100" w:type="dxa"/>
              <w:end w:w="120" w:type="dxa"/>
            </w:tcMar>
            <w:shd w:fill="17324D"/>
          </w:tcPr>
          <w:p>
            <w:pPr>
              <w:spacing w:after="0"/>
            </w:pPr>
            <w:r/>
            <w:r>
              <w:rPr>
                <w:rFonts w:ascii="Aptos" w:hAnsi="Aptos"/>
                <w:b/>
                <w:color w:val="FFFFFF"/>
                <w:sz w:val="16"/>
              </w:rPr>
              <w:t>Muhtemel sonuç</w:t>
            </w:r>
          </w:p>
        </w:tc>
      </w:tr>
      <w:tr>
        <w:trPr>
          <w:cantSplit/>
        </w:trPr>
        <w:tc>
          <w:tcPr>
            <w:tcW w:type="dxa" w:w="1928"/>
            <w:vAlign w:val="center"/>
            <w:tcMar>
              <w:top w:w="100" w:type="dxa"/>
              <w:start w:w="120" w:type="dxa"/>
              <w:bottom w:w="100" w:type="dxa"/>
              <w:end w:w="120" w:type="dxa"/>
            </w:tcMar>
          </w:tcPr>
          <w:p>
            <w:pPr>
              <w:spacing w:after="0"/>
            </w:pPr>
            <w:r/>
            <w:r>
              <w:rPr>
                <w:rFonts w:ascii="Aptos" w:hAnsi="Aptos"/>
                <w:b w:val="0"/>
                <w:color w:val="202B33"/>
                <w:sz w:val="16"/>
              </w:rPr>
              <w:t>Sezonu düzleştirme</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Ekim-Aralık talebi bütün yıl veya yanlış pencere ortalamasına karışır</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Sezon girişinde eksik, sezon dışında fazla tahmin</w:t>
            </w:r>
          </w:p>
        </w:tc>
      </w:tr>
      <w:tr>
        <w:trPr>
          <w:cantSplit/>
        </w:trPr>
        <w:tc>
          <w:tcPr>
            <w:tcW w:type="dxa" w:w="1928"/>
            <w:vAlign w:val="center"/>
            <w:tcMar>
              <w:top w:w="100" w:type="dxa"/>
              <w:start w:w="120" w:type="dxa"/>
              <w:bottom w:w="100" w:type="dxa"/>
              <w:end w:w="120" w:type="dxa"/>
            </w:tcMar>
            <w:shd w:fill="F3F5F7"/>
          </w:tcPr>
          <w:p>
            <w:pPr>
              <w:spacing w:after="0"/>
            </w:pPr>
            <w:r/>
            <w:r>
              <w:rPr>
                <w:rFonts w:ascii="Aptos" w:hAnsi="Aptos"/>
                <w:b w:val="0"/>
                <w:color w:val="202B33"/>
                <w:sz w:val="16"/>
              </w:rPr>
              <w:t>Trend gecikmesi</w:t>
            </w:r>
          </w:p>
        </w:tc>
        <w:tc>
          <w:tcPr>
            <w:tcW w:type="dxa" w:w="3969"/>
            <w:vAlign w:val="center"/>
            <w:tcMar>
              <w:top w:w="100" w:type="dxa"/>
              <w:start w:w="120" w:type="dxa"/>
              <w:bottom w:w="100" w:type="dxa"/>
              <w:end w:w="120" w:type="dxa"/>
            </w:tcMar>
            <w:shd w:fill="F3F5F7"/>
          </w:tcPr>
          <w:p>
            <w:pPr>
              <w:spacing w:after="0"/>
            </w:pPr>
            <w:r/>
            <w:r>
              <w:rPr>
                <w:rFonts w:ascii="Aptos" w:hAnsi="Aptos"/>
                <w:b w:val="0"/>
                <w:color w:val="202B33"/>
                <w:sz w:val="16"/>
              </w:rPr>
              <w:t>Ortalama son değişime kademeli tepki verir</w:t>
            </w:r>
          </w:p>
        </w:tc>
        <w:tc>
          <w:tcPr>
            <w:tcW w:type="dxa" w:w="3345"/>
            <w:vAlign w:val="center"/>
            <w:tcMar>
              <w:top w:w="100" w:type="dxa"/>
              <w:start w:w="120" w:type="dxa"/>
              <w:bottom w:w="100" w:type="dxa"/>
              <w:end w:w="120" w:type="dxa"/>
            </w:tcMar>
            <w:shd w:fill="F3F5F7"/>
          </w:tcPr>
          <w:p>
            <w:pPr>
              <w:spacing w:after="0"/>
            </w:pPr>
            <w:r/>
            <w:r>
              <w:rPr>
                <w:rFonts w:ascii="Aptos" w:hAnsi="Aptos"/>
                <w:b w:val="0"/>
                <w:color w:val="202B33"/>
                <w:sz w:val="16"/>
              </w:rPr>
              <w:t>Hızlanan üründe geç kalma; yavaşlayanda fazla stok</w:t>
            </w:r>
          </w:p>
        </w:tc>
      </w:tr>
      <w:tr>
        <w:trPr>
          <w:cantSplit/>
        </w:trPr>
        <w:tc>
          <w:tcPr>
            <w:tcW w:type="dxa" w:w="1928"/>
            <w:vAlign w:val="center"/>
            <w:tcMar>
              <w:top w:w="100" w:type="dxa"/>
              <w:start w:w="120" w:type="dxa"/>
              <w:bottom w:w="100" w:type="dxa"/>
              <w:end w:w="120" w:type="dxa"/>
            </w:tcMar>
          </w:tcPr>
          <w:p>
            <w:pPr>
              <w:spacing w:after="0"/>
            </w:pPr>
            <w:r/>
            <w:r>
              <w:rPr>
                <w:rFonts w:ascii="Aptos" w:hAnsi="Aptos"/>
                <w:b w:val="0"/>
                <w:color w:val="202B33"/>
                <w:sz w:val="16"/>
              </w:rPr>
              <w:t>Stockout baskısı</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Stoksuz sıfır haftalar ortalamayı düşürür</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Gerçek talebin sistematik eksik tahmini</w:t>
            </w:r>
          </w:p>
        </w:tc>
      </w:tr>
      <w:tr>
        <w:trPr>
          <w:cantSplit/>
        </w:trPr>
        <w:tc>
          <w:tcPr>
            <w:tcW w:type="dxa" w:w="1928"/>
            <w:vAlign w:val="center"/>
            <w:tcMar>
              <w:top w:w="100" w:type="dxa"/>
              <w:start w:w="120" w:type="dxa"/>
              <w:bottom w:w="100" w:type="dxa"/>
              <w:end w:w="120" w:type="dxa"/>
            </w:tcMar>
            <w:shd w:fill="F3F5F7"/>
          </w:tcPr>
          <w:p>
            <w:pPr>
              <w:spacing w:after="0"/>
            </w:pPr>
            <w:r/>
            <w:r>
              <w:rPr>
                <w:rFonts w:ascii="Aptos" w:hAnsi="Aptos"/>
                <w:b w:val="0"/>
                <w:color w:val="202B33"/>
                <w:sz w:val="16"/>
              </w:rPr>
              <w:t>Seyrek beden</w:t>
            </w:r>
          </w:p>
        </w:tc>
        <w:tc>
          <w:tcPr>
            <w:tcW w:type="dxa" w:w="3969"/>
            <w:vAlign w:val="center"/>
            <w:tcMar>
              <w:top w:w="100" w:type="dxa"/>
              <w:start w:w="120" w:type="dxa"/>
              <w:bottom w:w="100" w:type="dxa"/>
              <w:end w:w="120" w:type="dxa"/>
            </w:tcMar>
            <w:shd w:fill="F3F5F7"/>
          </w:tcPr>
          <w:p>
            <w:pPr>
              <w:spacing w:after="0"/>
            </w:pPr>
            <w:r/>
            <w:r>
              <w:rPr>
                <w:rFonts w:ascii="Aptos" w:hAnsi="Aptos"/>
                <w:b w:val="0"/>
                <w:color w:val="202B33"/>
                <w:sz w:val="16"/>
              </w:rPr>
              <w:t>Çok sayıda sıfır ve az satış gözlemi</w:t>
            </w:r>
          </w:p>
        </w:tc>
        <w:tc>
          <w:tcPr>
            <w:tcW w:type="dxa" w:w="3345"/>
            <w:vAlign w:val="center"/>
            <w:tcMar>
              <w:top w:w="100" w:type="dxa"/>
              <w:start w:w="120" w:type="dxa"/>
              <w:bottom w:w="100" w:type="dxa"/>
              <w:end w:w="120" w:type="dxa"/>
            </w:tcMar>
            <w:shd w:fill="F3F5F7"/>
          </w:tcPr>
          <w:p>
            <w:pPr>
              <w:spacing w:after="0"/>
            </w:pPr>
            <w:r/>
            <w:r>
              <w:rPr>
                <w:rFonts w:ascii="Aptos" w:hAnsi="Aptos"/>
                <w:b w:val="0"/>
                <w:color w:val="202B33"/>
                <w:sz w:val="16"/>
              </w:rPr>
              <w:t>Beden bazında düşük ve kararsız ihtiyaç</w:t>
            </w:r>
          </w:p>
        </w:tc>
      </w:tr>
      <w:tr>
        <w:trPr>
          <w:cantSplit/>
        </w:trPr>
        <w:tc>
          <w:tcPr>
            <w:tcW w:type="dxa" w:w="1928"/>
            <w:vAlign w:val="center"/>
            <w:tcMar>
              <w:top w:w="100" w:type="dxa"/>
              <w:start w:w="120" w:type="dxa"/>
              <w:bottom w:w="100" w:type="dxa"/>
              <w:end w:w="120" w:type="dxa"/>
            </w:tcMar>
          </w:tcPr>
          <w:p>
            <w:pPr>
              <w:spacing w:after="0"/>
            </w:pPr>
            <w:r/>
            <w:r>
              <w:rPr>
                <w:rFonts w:ascii="Aptos" w:hAnsi="Aptos"/>
                <w:b w:val="0"/>
                <w:color w:val="202B33"/>
                <w:sz w:val="16"/>
              </w:rPr>
              <w:t>Pencere hassasiyeti</w:t>
            </w:r>
          </w:p>
        </w:tc>
        <w:tc>
          <w:tcPr>
            <w:tcW w:type="dxa" w:w="3969"/>
            <w:vAlign w:val="center"/>
            <w:tcMar>
              <w:top w:w="100" w:type="dxa"/>
              <w:start w:w="120" w:type="dxa"/>
              <w:bottom w:w="100" w:type="dxa"/>
              <w:end w:w="120" w:type="dxa"/>
            </w:tcMar>
          </w:tcPr>
          <w:p>
            <w:pPr>
              <w:spacing w:after="0"/>
            </w:pPr>
            <w:r/>
            <w:r>
              <w:rPr>
                <w:rFonts w:ascii="Aptos" w:hAnsi="Aptos"/>
                <w:b w:val="0"/>
                <w:color w:val="202B33"/>
                <w:sz w:val="16"/>
              </w:rPr>
              <w:t>8, 13 ve 26 hafta farklı ticari dönemleri kapsar</w:t>
            </w:r>
          </w:p>
        </w:tc>
        <w:tc>
          <w:tcPr>
            <w:tcW w:type="dxa" w:w="3345"/>
            <w:vAlign w:val="center"/>
            <w:tcMar>
              <w:top w:w="100" w:type="dxa"/>
              <w:start w:w="120" w:type="dxa"/>
              <w:bottom w:w="100" w:type="dxa"/>
              <w:end w:w="120" w:type="dxa"/>
            </w:tcMar>
          </w:tcPr>
          <w:p>
            <w:pPr>
              <w:spacing w:after="0"/>
            </w:pPr>
            <w:r/>
            <w:r>
              <w:rPr>
                <w:rFonts w:ascii="Aptos" w:hAnsi="Aptos"/>
                <w:b w:val="0"/>
                <w:color w:val="202B33"/>
                <w:sz w:val="16"/>
              </w:rPr>
              <w:t>Tek pencere tüm ürünler için doğru olmaz</w:t>
            </w:r>
          </w:p>
        </w:tc>
      </w:tr>
    </w:tbl>
    <w:p>
      <w:pPr>
        <w:spacing w:after="0"/>
      </w:pP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Karar</w:t>
            </w:r>
          </w:p>
          <w:p>
            <w:pPr>
              <w:spacing w:after="0"/>
            </w:pPr>
            <w:r>
              <w:t>Moving Average reddedilmiyor; ana üretim yöntemi yapılmıyor. Son 8, 13 veya 26 haftalık hızın eş dönem planından ne kadar saptığını gösteren kontrol sinyali olarak kullanılıyor.</w:t>
            </w:r>
          </w:p>
        </w:tc>
      </w:tr>
    </w:tbl>
    <w:p>
      <w:pPr>
        <w:spacing w:after="0"/>
      </w:pPr>
    </w:p>
    <w:p>
      <w:pPr>
        <w:pStyle w:val="Heading2"/>
      </w:pPr>
      <w:r>
        <w:t>3.2 Linear Regression</w:t>
      </w:r>
    </w:p>
    <w:p>
      <w:r>
        <w:t>Linear Regression geçmiş talebe ordinary least squares trend çizgisi uydurur ve ileri taşır [1]. Bu yöntemin temel varsayımı, gözlenen hareketin geleceğe taşınabilir yaklaşık doğrusal bir eğilim içermesidir. Sezonluk moda/deri ürünlerinde satış eğrisi çoğu zaman doğrusal değil, yaşam döngüsü ve stok bulunurluğuyla şekillenmiştir.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268"/>
            <w:vAlign w:val="center"/>
            <w:tcMar>
              <w:top w:w="100" w:type="dxa"/>
              <w:start w:w="120" w:type="dxa"/>
              <w:bottom w:w="100" w:type="dxa"/>
              <w:end w:w="120" w:type="dxa"/>
            </w:tcMar>
            <w:shd w:fill="17324D"/>
          </w:tcPr>
          <w:p>
            <w:pPr>
              <w:spacing w:after="0"/>
            </w:pPr>
            <w:r/>
            <w:r>
              <w:rPr>
                <w:rFonts w:ascii="Aptos" w:hAnsi="Aptos"/>
                <w:b/>
                <w:color w:val="FFFFFF"/>
                <w:sz w:val="16"/>
              </w:rPr>
              <w:t>Veri olayı</w:t>
            </w:r>
          </w:p>
        </w:tc>
        <w:tc>
          <w:tcPr>
            <w:tcW w:type="dxa" w:w="3288"/>
            <w:vAlign w:val="center"/>
            <w:tcMar>
              <w:top w:w="100" w:type="dxa"/>
              <w:start w:w="120" w:type="dxa"/>
              <w:bottom w:w="100" w:type="dxa"/>
              <w:end w:w="120" w:type="dxa"/>
            </w:tcMar>
            <w:shd w:fill="17324D"/>
          </w:tcPr>
          <w:p>
            <w:pPr>
              <w:spacing w:after="0"/>
            </w:pPr>
            <w:r/>
            <w:r>
              <w:rPr>
                <w:rFonts w:ascii="Aptos" w:hAnsi="Aptos"/>
                <w:b/>
                <w:color w:val="FFFFFF"/>
                <w:sz w:val="16"/>
              </w:rPr>
              <w:t>Regression'ın görebileceği sinyal</w:t>
            </w:r>
          </w:p>
        </w:tc>
        <w:tc>
          <w:tcPr>
            <w:tcW w:type="dxa" w:w="3685"/>
            <w:vAlign w:val="center"/>
            <w:tcMar>
              <w:top w:w="100" w:type="dxa"/>
              <w:start w:w="120" w:type="dxa"/>
              <w:bottom w:w="100" w:type="dxa"/>
              <w:end w:w="120" w:type="dxa"/>
            </w:tcMar>
            <w:shd w:fill="17324D"/>
          </w:tcPr>
          <w:p>
            <w:pPr>
              <w:spacing w:after="0"/>
            </w:pPr>
            <w:r/>
            <w:r>
              <w:rPr>
                <w:rFonts w:ascii="Aptos" w:hAnsi="Aptos"/>
                <w:b/>
                <w:color w:val="FFFFFF"/>
                <w:sz w:val="16"/>
              </w:rPr>
              <w:t>Gerçek iş açıklaması</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Sezon sonu düşüşü</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Kalıcı negatif trend</w:t>
            </w:r>
          </w:p>
        </w:tc>
        <w:tc>
          <w:tcPr>
            <w:tcW w:type="dxa" w:w="3685"/>
            <w:vAlign w:val="center"/>
            <w:tcMar>
              <w:top w:w="100" w:type="dxa"/>
              <w:start w:w="120" w:type="dxa"/>
              <w:bottom w:w="100" w:type="dxa"/>
              <w:end w:w="120" w:type="dxa"/>
            </w:tcMar>
          </w:tcPr>
          <w:p>
            <w:pPr>
              <w:spacing w:after="0"/>
            </w:pPr>
            <w:r/>
            <w:r>
              <w:rPr>
                <w:rFonts w:ascii="Aptos" w:hAnsi="Aptos"/>
                <w:b w:val="0"/>
                <w:color w:val="202B33"/>
                <w:sz w:val="16"/>
              </w:rPr>
              <w:t>Sezonun doğal kapanışı</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Kısa kampanya</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6"/>
              </w:rPr>
              <w:t>Kalıcı pozitif trend</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6"/>
              </w:rPr>
              <w:t>Fiyat/indirim kaynaklı geçici sıçrama</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İki hafta stockout</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Ani talep düşüşü</w:t>
            </w:r>
          </w:p>
        </w:tc>
        <w:tc>
          <w:tcPr>
            <w:tcW w:type="dxa" w:w="3685"/>
            <w:vAlign w:val="center"/>
            <w:tcMar>
              <w:top w:w="100" w:type="dxa"/>
              <w:start w:w="120" w:type="dxa"/>
              <w:bottom w:w="100" w:type="dxa"/>
              <w:end w:w="120" w:type="dxa"/>
            </w:tcMar>
          </w:tcPr>
          <w:p>
            <w:pPr>
              <w:spacing w:after="0"/>
            </w:pPr>
            <w:r/>
            <w:r>
              <w:rPr>
                <w:rFonts w:ascii="Aptos" w:hAnsi="Aptos"/>
                <w:b w:val="0"/>
                <w:color w:val="202B33"/>
                <w:sz w:val="16"/>
              </w:rPr>
              <w:t>Satılamayan fakat devam eden talep</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Yeni ürün lansmanı</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6"/>
              </w:rPr>
              <w:t>Hızlı büyüme eğrisi</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6"/>
              </w:rPr>
              <w:t>Dağıtımın kademeli açılması / başlangıç etkisi</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SKU kod değişimi</w:t>
            </w:r>
          </w:p>
        </w:tc>
        <w:tc>
          <w:tcPr>
            <w:tcW w:type="dxa" w:w="3288"/>
            <w:vAlign w:val="center"/>
            <w:tcMar>
              <w:top w:w="100" w:type="dxa"/>
              <w:start w:w="120" w:type="dxa"/>
              <w:bottom w:w="100" w:type="dxa"/>
              <w:end w:w="120" w:type="dxa"/>
            </w:tcMar>
          </w:tcPr>
          <w:p>
            <w:pPr>
              <w:spacing w:after="0"/>
            </w:pPr>
            <w:r/>
            <w:r>
              <w:rPr>
                <w:rFonts w:ascii="Aptos" w:hAnsi="Aptos"/>
                <w:b w:val="0"/>
                <w:color w:val="202B33"/>
                <w:sz w:val="16"/>
              </w:rPr>
              <w:t>Eski serinin bitmesi, yeni serinin sıfırdan başlaması</w:t>
            </w:r>
          </w:p>
        </w:tc>
        <w:tc>
          <w:tcPr>
            <w:tcW w:type="dxa" w:w="3685"/>
            <w:vAlign w:val="center"/>
            <w:tcMar>
              <w:top w:w="100" w:type="dxa"/>
              <w:start w:w="120" w:type="dxa"/>
              <w:bottom w:w="100" w:type="dxa"/>
              <w:end w:w="120" w:type="dxa"/>
            </w:tcMar>
          </w:tcPr>
          <w:p>
            <w:pPr>
              <w:spacing w:after="0"/>
            </w:pPr>
            <w:r/>
            <w:r>
              <w:rPr>
                <w:rFonts w:ascii="Aptos" w:hAnsi="Aptos"/>
                <w:b w:val="0"/>
                <w:color w:val="202B33"/>
                <w:sz w:val="16"/>
              </w:rPr>
              <w:t>Aynı ticari ürünün devamı</w:t>
            </w:r>
          </w:p>
        </w:tc>
      </w:tr>
    </w:tbl>
    <w:p>
      <w:pPr>
        <w:spacing w:after="0"/>
      </w:pPr>
    </w:p>
    <w:p>
      <w:r>
        <w:t>Regression ancak en az 26–52 haftalık yeterince dolu satış, düşük stockout etkisi, kısa tahmin ufku ve rolling backtest'te basit baseline'ı geçme koşullarında anlamlı challenger olabilir. Sonucu otomatik olarak üretim kararına çevirmek yerine ana planla sapması gösterilir.</w:t>
      </w:r>
    </w:p>
    <w:p>
      <w:pPr>
        <w:pStyle w:val="Heading2"/>
      </w:pPr>
      <w:r>
        <w:t>3.3 Seasonal Average</w:t>
      </w:r>
    </w:p>
    <w:p>
      <w:r>
        <w:t>Seasonal Average iş mantığı açısından deri ve mont gibi güçlü sezonluk ürünlere uygun görünür. Fakat tek yıllık veri yalnızca bir Ekim, bir Kasım ve bir Aralık gözlemi sunar. O ay yaşanan stockout, kampanya, hava etkisi veya fiyat değişimi “normal sezon” sanılabilir. Oracle ayrıca NetSuite Seasonal Average için yalnızca aylık projection interval desteklendiğini belirtir [1]. Bu da haftalık üretim kararındaki ayrıntıyı azaltır.</w:t>
      </w:r>
    </w:p>
    <w:tbl>
      <w:tblPr>
        <w:tblW w:type="auto" w:w="0"/>
        <w:tblLayout w:type="fixed"/>
        <w:tblLook w:firstColumn="1" w:firstRow="1" w:lastColumn="0" w:lastRow="0" w:noHBand="0" w:noVBand="1" w:val="04A0"/>
      </w:tblPr>
      <w:tblGrid>
        <w:gridCol w:w="4957"/>
        <w:gridCol w:w="4957"/>
      </w:tblGrid>
      <w:tr>
        <w:tc>
          <w:tcPr>
            <w:tcW w:type="dxa" w:w="142"/>
            <w:shd w:fill="0B7A75"/>
            <w:tcMar>
              <w:top w:w="30" w:type="dxa"/>
              <w:start w:w="20" w:type="dxa"/>
              <w:bottom w:w="30" w:type="dxa"/>
              <w:end w:w="20" w:type="dxa"/>
            </w:tcMar>
          </w:tcPr>
          <w:p/>
        </w:tc>
        <w:tc>
          <w:tcPr>
            <w:tcW w:type="dxa" w:w="9071"/>
            <w:shd w:fill="E5F4F2"/>
            <w:tcMar>
              <w:top w:w="150" w:type="dxa"/>
              <w:start w:w="220" w:type="dxa"/>
              <w:bottom w:w="150" w:type="dxa"/>
              <w:end w:w="220" w:type="dxa"/>
            </w:tcMar>
          </w:tcPr>
          <w:p>
            <w:pPr>
              <w:spacing w:after="80"/>
            </w:pPr>
            <w:r/>
            <w:r>
              <w:rPr>
                <w:rFonts w:ascii="Aptos Display" w:hAnsi="Aptos Display"/>
                <w:b/>
                <w:color w:val="0B7A75"/>
                <w:sz w:val="22"/>
              </w:rPr>
              <w:t>Karar</w:t>
            </w:r>
          </w:p>
          <w:p>
            <w:pPr>
              <w:spacing w:after="0"/>
            </w:pPr>
            <w:r>
              <w:t>İlk yılda Seasonal Average güvenilir öğrenilmiş sezon modeli değil, geçen yılın aynı ayını tekrar eden tek-gözlemli baseline olarak görülmelidir. İkinci sezon karşılaştırma sağlar; üç tam sezon ürün bazlı sezon katsayısı için daha güvenli tabandır.</w:t>
            </w:r>
          </w:p>
        </w:tc>
      </w:tr>
    </w:tbl>
    <w:p>
      <w:pPr>
        <w:spacing w:after="0"/>
      </w:pPr>
    </w:p>
    <w:p>
      <w:pPr>
        <w:pStyle w:val="Heading2"/>
      </w:pPr>
      <w:r>
        <w:t>3.4 Sales Forecast</w:t>
      </w:r>
    </w:p>
    <w:p>
      <w:r>
        <w:t>Sales Forecast; fırsat, teklif ve satış emri gibi ileriye dönük ticari kayıtları kullanabilir [1]. Bilinen sipariş veya güçlü satış beklentisini plana taşımak için değerlidir. Ancak geçmiş satıştan hesaplanan tarafsız bir baseline değildir; CRM/pipeline kaydının kapsamına, tarihine ve olasılık disiplinine bağlıdır. Bu nedenle temel tahminin yerine değil, doğrulanmış ileri talep sinyali olarak kullanılması uygundur.</w:t>
      </w:r>
    </w:p>
    <w:p>
      <w:pPr>
        <w:pStyle w:val="Heading2"/>
      </w:pPr>
      <w:r>
        <w:t>3.5 Metotların karşılaştırmalı özeti</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Yöntem</w:t>
            </w:r>
          </w:p>
        </w:tc>
        <w:tc>
          <w:tcPr>
            <w:tcW w:type="dxa" w:w="2608"/>
            <w:vAlign w:val="center"/>
            <w:tcMar>
              <w:top w:w="100" w:type="dxa"/>
              <w:start w:w="120" w:type="dxa"/>
              <w:bottom w:w="100" w:type="dxa"/>
              <w:end w:w="120" w:type="dxa"/>
            </w:tcMar>
            <w:shd w:fill="17324D"/>
          </w:tcPr>
          <w:p>
            <w:pPr>
              <w:spacing w:after="0"/>
            </w:pPr>
            <w:r/>
            <w:r>
              <w:rPr>
                <w:rFonts w:ascii="Aptos" w:hAnsi="Aptos"/>
                <w:b/>
                <w:color w:val="FFFFFF"/>
                <w:sz w:val="16"/>
              </w:rPr>
              <w:t>Ana varsayım</w:t>
            </w:r>
          </w:p>
        </w:tc>
        <w:tc>
          <w:tcPr>
            <w:tcW w:type="dxa" w:w="2835"/>
            <w:vAlign w:val="center"/>
            <w:tcMar>
              <w:top w:w="100" w:type="dxa"/>
              <w:start w:w="120" w:type="dxa"/>
              <w:bottom w:w="100" w:type="dxa"/>
              <w:end w:w="120" w:type="dxa"/>
            </w:tcMar>
            <w:shd w:fill="17324D"/>
          </w:tcPr>
          <w:p>
            <w:pPr>
              <w:spacing w:after="0"/>
            </w:pPr>
            <w:r/>
            <w:r>
              <w:rPr>
                <w:rFonts w:ascii="Aptos" w:hAnsi="Aptos"/>
                <w:b/>
                <w:color w:val="FFFFFF"/>
                <w:sz w:val="16"/>
              </w:rPr>
              <w:t>Mevcut engel</w:t>
            </w:r>
          </w:p>
        </w:tc>
        <w:tc>
          <w:tcPr>
            <w:tcW w:type="dxa" w:w="2098"/>
            <w:vAlign w:val="center"/>
            <w:tcMar>
              <w:top w:w="100" w:type="dxa"/>
              <w:start w:w="120" w:type="dxa"/>
              <w:bottom w:w="100" w:type="dxa"/>
              <w:end w:w="120" w:type="dxa"/>
            </w:tcMar>
            <w:shd w:fill="17324D"/>
          </w:tcPr>
          <w:p>
            <w:pPr>
              <w:spacing w:after="0"/>
            </w:pPr>
            <w:r/>
            <w:r>
              <w:rPr>
                <w:rFonts w:ascii="Aptos" w:hAnsi="Aptos"/>
                <w:b/>
                <w:color w:val="FFFFFF"/>
                <w:sz w:val="16"/>
              </w:rPr>
              <w:t>Bizdeki rol</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5"/>
              </w:rPr>
              <w:t>Moving Average</w:t>
            </w:r>
          </w:p>
        </w:tc>
        <w:tc>
          <w:tcPr>
            <w:tcW w:type="dxa" w:w="2608"/>
            <w:vAlign w:val="center"/>
            <w:tcMar>
              <w:top w:w="100" w:type="dxa"/>
              <w:start w:w="120" w:type="dxa"/>
              <w:bottom w:w="100" w:type="dxa"/>
              <w:end w:w="120" w:type="dxa"/>
            </w:tcMar>
          </w:tcPr>
          <w:p>
            <w:pPr>
              <w:spacing w:after="0"/>
            </w:pPr>
            <w:r/>
            <w:r>
              <w:rPr>
                <w:rFonts w:ascii="Aptos" w:hAnsi="Aptos"/>
                <w:b w:val="0"/>
                <w:color w:val="202B33"/>
                <w:sz w:val="15"/>
              </w:rPr>
              <w:t>Yakın geçmiş seviyesi gelecekte sürer</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Sezon, stockout ve pencere hassasiyeti</w:t>
            </w:r>
          </w:p>
        </w:tc>
        <w:tc>
          <w:tcPr>
            <w:tcW w:type="dxa" w:w="2098"/>
            <w:vAlign w:val="center"/>
            <w:tcMar>
              <w:top w:w="100" w:type="dxa"/>
              <w:start w:w="120" w:type="dxa"/>
              <w:bottom w:w="100" w:type="dxa"/>
              <w:end w:w="120" w:type="dxa"/>
            </w:tcMar>
          </w:tcPr>
          <w:p>
            <w:pPr>
              <w:spacing w:after="0"/>
            </w:pPr>
            <w:r/>
            <w:r>
              <w:rPr>
                <w:rFonts w:ascii="Aptos" w:hAnsi="Aptos"/>
                <w:b w:val="0"/>
                <w:color w:val="202B33"/>
                <w:sz w:val="15"/>
              </w:rPr>
              <w:t>Kontrol tahmini</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5"/>
              </w:rPr>
              <w:t>Linear Regression</w:t>
            </w:r>
          </w:p>
        </w:tc>
        <w:tc>
          <w:tcPr>
            <w:tcW w:type="dxa" w:w="2608"/>
            <w:vAlign w:val="center"/>
            <w:tcMar>
              <w:top w:w="100" w:type="dxa"/>
              <w:start w:w="120" w:type="dxa"/>
              <w:bottom w:w="100" w:type="dxa"/>
              <w:end w:w="120" w:type="dxa"/>
            </w:tcMar>
            <w:shd w:fill="F3F5F7"/>
          </w:tcPr>
          <w:p>
            <w:pPr>
              <w:spacing w:after="0"/>
            </w:pPr>
            <w:r/>
            <w:r>
              <w:rPr>
                <w:rFonts w:ascii="Aptos" w:hAnsi="Aptos"/>
                <w:b w:val="0"/>
                <w:color w:val="202B33"/>
                <w:sz w:val="15"/>
              </w:rPr>
              <w:t>Doğrusal trend geleceğe taşınabilir</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Sezon/yaşam döngüsü/kampanya eğriyi bozar</w:t>
            </w:r>
          </w:p>
        </w:tc>
        <w:tc>
          <w:tcPr>
            <w:tcW w:type="dxa" w:w="2098"/>
            <w:vAlign w:val="center"/>
            <w:tcMar>
              <w:top w:w="100" w:type="dxa"/>
              <w:start w:w="120" w:type="dxa"/>
              <w:bottom w:w="100" w:type="dxa"/>
              <w:end w:w="120" w:type="dxa"/>
            </w:tcMar>
            <w:shd w:fill="F3F5F7"/>
          </w:tcPr>
          <w:p>
            <w:pPr>
              <w:spacing w:after="0"/>
            </w:pPr>
            <w:r/>
            <w:r>
              <w:rPr>
                <w:rFonts w:ascii="Aptos" w:hAnsi="Aptos"/>
                <w:b w:val="0"/>
                <w:color w:val="202B33"/>
                <w:sz w:val="15"/>
              </w:rPr>
              <w:t>Shadow challenger</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5"/>
              </w:rPr>
              <w:t>Seasonal Average</w:t>
            </w:r>
          </w:p>
        </w:tc>
        <w:tc>
          <w:tcPr>
            <w:tcW w:type="dxa" w:w="2608"/>
            <w:vAlign w:val="center"/>
            <w:tcMar>
              <w:top w:w="100" w:type="dxa"/>
              <w:start w:w="120" w:type="dxa"/>
              <w:bottom w:w="100" w:type="dxa"/>
              <w:end w:w="120" w:type="dxa"/>
            </w:tcMar>
          </w:tcPr>
          <w:p>
            <w:pPr>
              <w:spacing w:after="0"/>
            </w:pPr>
            <w:r/>
            <w:r>
              <w:rPr>
                <w:rFonts w:ascii="Aptos" w:hAnsi="Aptos"/>
                <w:b w:val="0"/>
                <w:color w:val="202B33"/>
                <w:sz w:val="15"/>
              </w:rPr>
              <w:t>Tekrarlanan sezon örüntüsü yeterince gözlenmiştir</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Yalnızca bir tam sezon; aylık ayrıntı</w:t>
            </w:r>
          </w:p>
        </w:tc>
        <w:tc>
          <w:tcPr>
            <w:tcW w:type="dxa" w:w="2098"/>
            <w:vAlign w:val="center"/>
            <w:tcMar>
              <w:top w:w="100" w:type="dxa"/>
              <w:start w:w="120" w:type="dxa"/>
              <w:bottom w:w="100" w:type="dxa"/>
              <w:end w:w="120" w:type="dxa"/>
            </w:tcMar>
          </w:tcPr>
          <w:p>
            <w:pPr>
              <w:spacing w:after="0"/>
            </w:pPr>
            <w:r/>
            <w:r>
              <w:rPr>
                <w:rFonts w:ascii="Aptos" w:hAnsi="Aptos"/>
                <w:b w:val="0"/>
                <w:color w:val="202B33"/>
                <w:sz w:val="15"/>
              </w:rPr>
              <w:t>2.–3. sezon sonrası test</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5"/>
              </w:rPr>
              <w:t>Sales Forecast</w:t>
            </w:r>
          </w:p>
        </w:tc>
        <w:tc>
          <w:tcPr>
            <w:tcW w:type="dxa" w:w="2608"/>
            <w:vAlign w:val="center"/>
            <w:tcMar>
              <w:top w:w="100" w:type="dxa"/>
              <w:start w:w="120" w:type="dxa"/>
              <w:bottom w:w="100" w:type="dxa"/>
              <w:end w:w="120" w:type="dxa"/>
            </w:tcMar>
            <w:shd w:fill="F3F5F7"/>
          </w:tcPr>
          <w:p>
            <w:pPr>
              <w:spacing w:after="0"/>
            </w:pPr>
            <w:r/>
            <w:r>
              <w:rPr>
                <w:rFonts w:ascii="Aptos" w:hAnsi="Aptos"/>
                <w:b w:val="0"/>
                <w:color w:val="202B33"/>
                <w:sz w:val="15"/>
              </w:rPr>
              <w:t>İleri ticari kayıtlar güvenilir talep sinyalidir</w:t>
            </w:r>
          </w:p>
        </w:tc>
        <w:tc>
          <w:tcPr>
            <w:tcW w:type="dxa" w:w="2835"/>
            <w:vAlign w:val="center"/>
            <w:tcMar>
              <w:top w:w="100" w:type="dxa"/>
              <w:start w:w="120" w:type="dxa"/>
              <w:bottom w:w="100" w:type="dxa"/>
              <w:end w:w="120" w:type="dxa"/>
            </w:tcMar>
            <w:shd w:fill="F3F5F7"/>
          </w:tcPr>
          <w:p>
            <w:pPr>
              <w:spacing w:after="0"/>
            </w:pPr>
            <w:r/>
            <w:r>
              <w:rPr>
                <w:rFonts w:ascii="Aptos" w:hAnsi="Aptos"/>
                <w:b w:val="0"/>
                <w:color w:val="202B33"/>
                <w:sz w:val="15"/>
              </w:rPr>
              <w:t>Pipeline kalitesi ve kapsamı</w:t>
            </w:r>
          </w:p>
        </w:tc>
        <w:tc>
          <w:tcPr>
            <w:tcW w:type="dxa" w:w="2098"/>
            <w:vAlign w:val="center"/>
            <w:tcMar>
              <w:top w:w="100" w:type="dxa"/>
              <w:start w:w="120" w:type="dxa"/>
              <w:bottom w:w="100" w:type="dxa"/>
              <w:end w:w="120" w:type="dxa"/>
            </w:tcMar>
            <w:shd w:fill="F3F5F7"/>
          </w:tcPr>
          <w:p>
            <w:pPr>
              <w:spacing w:after="0"/>
            </w:pPr>
            <w:r/>
            <w:r>
              <w:rPr>
                <w:rFonts w:ascii="Aptos" w:hAnsi="Aptos"/>
                <w:b w:val="0"/>
                <w:color w:val="202B33"/>
                <w:sz w:val="15"/>
              </w:rPr>
              <w:t>Bilinen talep katkısı</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5"/>
              </w:rPr>
              <w:t>Önerilen yöntem</w:t>
            </w:r>
          </w:p>
        </w:tc>
        <w:tc>
          <w:tcPr>
            <w:tcW w:type="dxa" w:w="2608"/>
            <w:vAlign w:val="center"/>
            <w:tcMar>
              <w:top w:w="100" w:type="dxa"/>
              <w:start w:w="120" w:type="dxa"/>
              <w:bottom w:w="100" w:type="dxa"/>
              <w:end w:w="120" w:type="dxa"/>
            </w:tcMar>
          </w:tcPr>
          <w:p>
            <w:pPr>
              <w:spacing w:after="0"/>
            </w:pPr>
            <w:r/>
            <w:r>
              <w:rPr>
                <w:rFonts w:ascii="Aptos" w:hAnsi="Aptos"/>
                <w:b w:val="0"/>
                <w:color w:val="202B33"/>
                <w:sz w:val="15"/>
              </w:rPr>
              <w:t>Karşılaştırılabilir dönem + açık iş kuralları</w:t>
            </w:r>
          </w:p>
        </w:tc>
        <w:tc>
          <w:tcPr>
            <w:tcW w:type="dxa" w:w="2835"/>
            <w:vAlign w:val="center"/>
            <w:tcMar>
              <w:top w:w="100" w:type="dxa"/>
              <w:start w:w="120" w:type="dxa"/>
              <w:bottom w:w="100" w:type="dxa"/>
              <w:end w:w="120" w:type="dxa"/>
            </w:tcMar>
          </w:tcPr>
          <w:p>
            <w:pPr>
              <w:spacing w:after="0"/>
            </w:pPr>
            <w:r/>
            <w:r>
              <w:rPr>
                <w:rFonts w:ascii="Aptos" w:hAnsi="Aptos"/>
                <w:b w:val="0"/>
                <w:color w:val="202B33"/>
                <w:sz w:val="15"/>
              </w:rPr>
              <w:t>Eşleme ve veri kalitesi çalışması gerektirir</w:t>
            </w:r>
          </w:p>
        </w:tc>
        <w:tc>
          <w:tcPr>
            <w:tcW w:type="dxa" w:w="2098"/>
            <w:vAlign w:val="center"/>
            <w:tcMar>
              <w:top w:w="100" w:type="dxa"/>
              <w:start w:w="120" w:type="dxa"/>
              <w:bottom w:w="100" w:type="dxa"/>
              <w:end w:w="120" w:type="dxa"/>
            </w:tcMar>
          </w:tcPr>
          <w:p>
            <w:pPr>
              <w:spacing w:after="0"/>
            </w:pPr>
            <w:r/>
            <w:r>
              <w:rPr>
                <w:rFonts w:ascii="Aptos" w:hAnsi="Aptos"/>
                <w:b w:val="0"/>
                <w:color w:val="202B33"/>
                <w:sz w:val="15"/>
              </w:rPr>
              <w:t>Ana üretim planı</w:t>
            </w:r>
          </w:p>
        </w:tc>
      </w:tr>
    </w:tbl>
    <w:p>
      <w:pPr>
        <w:spacing w:after="0"/>
      </w:pPr>
    </w:p>
    <w:p>
      <w:pPr>
        <w:pStyle w:val="Heading1"/>
      </w:pPr>
      <w:r>
        <w:t>4. Bizim yöntemimiz: adım adım hesaplama</w:t>
      </w:r>
    </w:p>
    <w:p>
      <w:pPr>
        <w:pStyle w:val="Heading2"/>
      </w:pPr>
      <w:r>
        <w:t>4.1 Adım 0 — Planlama varlığını ve dönemi tanımlama</w:t>
      </w:r>
    </w:p>
    <w:p>
      <w:r>
        <w:t>Plan; ürün kodundan önce ticari varlık seviyesinde kurulur: kanonik model + renk + gerekirse kanal. Beden kırılımı sonraki adımda yapılır. Planner ayrı bir referans dönemi ve plan dönemi seçer. Örneğin 1 Ekim–31 Aralık 2026 planı için ilk referans 1 Ekim–31 Aralık 2025'tir. Aynı sezonu karşılaştırmak, tüm yıl ortalamasını kullanmaktan daha doğru ticari bağlam sağlar.</w:t>
      </w:r>
    </w:p>
    <w:p>
      <w:pPr>
        <w:pStyle w:val="Heading2"/>
      </w:pPr>
      <w:r>
        <w:t>4.2 Adım 1 — Brüt satışın tekilleştirilmesi</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Brüt satış = tekilleştirilmiş gerçekleşmiş satış adedi</w:t>
            </w:r>
            <w:r>
              <w:br/>
            </w:r>
            <w:r>
              <w:rPr>
                <w:rFonts w:ascii="Aptos Mono" w:hAnsi="Aptos Mono"/>
                <w:b/>
                <w:color w:val="FFFFFF"/>
                <w:sz w:val="19"/>
              </w:rPr>
              <w:t>Invoice varsa bağlı fulfillment ayrıca satış sayılmaz</w:t>
            </w:r>
          </w:p>
        </w:tc>
      </w:tr>
    </w:tbl>
    <w:p>
      <w:pPr>
        <w:spacing w:after="0"/>
      </w:pPr>
    </w:p>
    <w:p>
      <w:r>
        <w:t>Neden: Aynı sipariş hem fulfillment hem invoice kayıtlarında bulunabilir. İkisini birlikte toplamak satış ve talebi iki katına çıkarır. Birincil kaynak Invoice; faturalamanın geciktiği veya kullanılmadığı akışta Item Fulfillment olabilir. Tekilleştirme createdfrom, sipariş ve satır anahtarıyla yapılır.</w:t>
      </w:r>
    </w:p>
    <w:p>
      <w:pPr>
        <w:pStyle w:val="Heading2"/>
      </w:pPr>
      <w:r>
        <w:t>4.3 Adım 2 — İadenin doğru döneme ve niteliğe bağlanması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Net talep = brüt satış − talebi gerçekten azaltan iade</w:t>
            </w:r>
            <w:r>
              <w:br/>
            </w:r>
            <w:r>
              <w:rPr>
                <w:rFonts w:ascii="Aptos Mono" w:hAnsi="Aptos Mono"/>
                <w:b/>
                <w:color w:val="FFFFFF"/>
                <w:sz w:val="19"/>
              </w:rPr>
              <w:t>Reel iade oranı = iade adedi / brüt satış adedi</w:t>
            </w:r>
          </w:p>
        </w:tc>
      </w:tr>
    </w:tbl>
    <w:p>
      <w:pPr>
        <w:spacing w:after="0"/>
      </w:pPr>
    </w:p>
    <w:p>
      <w:r>
        <w:t>Neden bütün iadeler aynı değildir:</w:t>
      </w:r>
    </w:p>
    <w:p>
      <w:pPr>
        <w:pStyle w:val="ListBullet"/>
      </w:pPr>
      <w:r>
        <w:t>Tekrar satılabilir iade hem net talebi hem kullanılabilir arzı etkileyebilir.</w:t>
      </w:r>
    </w:p>
    <w:p>
      <w:pPr>
        <w:pStyle w:val="ListBullet"/>
      </w:pPr>
      <w:r>
        <w:t>Hasarlı/defolu iade müşterinin talebini ortadan kaldırmaz; yeniden satılabilir arz yaratmaz.</w:t>
      </w:r>
    </w:p>
    <w:p>
      <w:pPr>
        <w:pStyle w:val="ListBullet"/>
      </w:pPr>
      <w:r>
        <w:t>Geç gelen iade, iade tarihinin değil kaynak satış döneminin performansıyla ilişkilendirilmelidir.</w:t>
      </w:r>
    </w:p>
    <w:p>
      <w:pPr>
        <w:pStyle w:val="ListBullet"/>
      </w:pPr>
      <w:r>
        <w:t>Kaynak satışa bağlanamayan iade kesin veri gibi kullanılmamalı; heuristic/unmatched kalite etiketi taşımalıdır.</w:t>
      </w:r>
    </w:p>
    <w:p>
      <w:r>
        <w:t>Brüt satış sıfırsa iade oranı sıfır değil, tanımsız (NULL) kabul edilir. Negatif net satış raporlanır; tahmin tabanı negatif talep üretmemek için sıfıra tabanlanır.</w:t>
      </w:r>
    </w:p>
    <w:p>
      <w:pPr>
        <w:pStyle w:val="Heading2"/>
      </w:pPr>
      <w:r>
        <w:t>4.4 Adım 3 — Stockout ve özel dönem işaretleri</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Offerable stok = 0 VE satış = 0</w:t>
            </w:r>
            <w:r>
              <w:br/>
            </w:r>
            <w:r>
              <w:rPr>
                <w:rFonts w:ascii="Aptos Mono" w:hAnsi="Aptos Mono"/>
                <w:b/>
                <w:color w:val="FFFFFF"/>
                <w:sz w:val="19"/>
              </w:rPr>
              <w:t>→ normal sıfır talep değil, STOCKOUT_BIAS istisnası</w:t>
            </w:r>
          </w:p>
        </w:tc>
      </w:tr>
    </w:tbl>
    <w:p>
      <w:pPr>
        <w:spacing w:after="0"/>
      </w:pPr>
    </w:p>
    <w:p>
      <w:r>
        <w:t>İlk fazda sistem bilinmeyen talebi yapay bir sayı ile doldurmak zorunda değildir; en azından gözlemi normal sıfır gibi öğrenmeyi engeller ve planner'a gösterir. Kampanya, yüksek indirim, lansman ve sezon kapanışı da işaretlenir. Neden: Bu olaylar talep seviyesini değiştirir fakat kalıcı temel talebi temsil etmeyebilir.</w:t>
      </w:r>
    </w:p>
    <w:p>
      <w:pPr>
        <w:pStyle w:val="Heading2"/>
      </w:pPr>
      <w:r>
        <w:t>4.5 Adım 4 — Karşılaştırılabilir dönem net talep hızı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Net satış = max(0, brüt satış − ilgili iade)</w:t>
            </w:r>
            <w:r>
              <w:br/>
            </w:r>
            <w:r>
              <w:rPr>
                <w:rFonts w:ascii="Aptos Mono" w:hAnsi="Aptos Mono"/>
                <w:b w:val="0"/>
                <w:color w:val="FFFFFF"/>
                <w:sz w:val="19"/>
              </w:rPr>
              <w:t>Günlük net talep hızı = net satış / referans gün sayısı</w:t>
            </w:r>
            <w:r>
              <w:br/>
            </w:r>
            <w:r>
              <w:rPr>
                <w:rFonts w:ascii="Aptos Mono" w:hAnsi="Aptos Mono"/>
                <w:b/>
                <w:color w:val="FFFFFF"/>
                <w:sz w:val="19"/>
              </w:rPr>
              <w:t>Normalize plan talebi = günlük hız × plan dönemi gün sayısı</w:t>
            </w:r>
          </w:p>
        </w:tc>
      </w:tr>
    </w:tbl>
    <w:p>
      <w:pPr>
        <w:spacing w:after="0"/>
      </w:pPr>
    </w:p>
    <w:p>
      <w:r>
        <w:t>Neden günlük normalizasyon: Referans dönemi 90 gün, plan dönemi 60 gün olduğunda 90 günlük toplamı doğrudan 60 güne taşımak fazla tahmin üretir. Günlük hız farklı dönem uzunluklarını aynı ölçeğe getirir. Haftalık karar için sonuç haftalara dönüştürülür; dönemlerin ticari olarak karşılaştırılabilir olması yine zorunludur.</w:t>
      </w:r>
    </w:p>
    <w:p>
      <w:pPr>
        <w:pStyle w:val="Heading2"/>
      </w:pPr>
      <w:r>
        <w:t>4.6 Adım 5 — Büyüme veya daralma varsayımı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Baz tahmin = normalize plan talebi × büyüme katsayısı</w:t>
            </w:r>
            <w:r>
              <w:br/>
            </w:r>
            <w:r>
              <w:rPr>
                <w:rFonts w:ascii="Aptos Mono" w:hAnsi="Aptos Mono"/>
                <w:b/>
                <w:color w:val="FFFFFF"/>
                <w:sz w:val="19"/>
              </w:rPr>
              <w:t>Kullanıcı girişi yoksa katsayı = 1,00</w:t>
            </w:r>
          </w:p>
        </w:tc>
      </w:tr>
    </w:tbl>
    <w:p>
      <w:pPr>
        <w:spacing w:after="0"/>
      </w:pPr>
    </w:p>
    <w:p>
      <w:r>
        <w:t>Neden ayrı parametre: Geçen sezonun seviyesi ile yönetimin gelecek sezon beklentisi birbirine karıştırılmaz. Fiyat, dağıtım, mağaza/kanal açılışı, ürün konumlandırması veya bütçe kararı gibi ileri bilgi açık bir katsayıyla ve senaryo sürümüyle saklanır. Böylece model geçmişi, yönetim varsayımı ise geleceğe ilişkin kararı temsil eder.</w:t>
      </w:r>
    </w:p>
    <w:p>
      <w:pPr>
        <w:pStyle w:val="Heading2"/>
      </w:pPr>
      <w:r>
        <w:t>4.7 Adım 6 — Model/renk toplamından beden planına geçiş</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Model + renk + kanal toplam tahmini</w:t>
            </w:r>
            <w:r>
              <w:br/>
            </w:r>
            <w:r>
              <w:rPr>
                <w:rFonts w:ascii="Aptos Mono" w:hAnsi="Aptos Mono"/>
                <w:b w:val="0"/>
                <w:color w:val="FFFFFF"/>
                <w:sz w:val="19"/>
              </w:rPr>
              <w:t>× yumuşatılmış beden payı</w:t>
            </w:r>
            <w:r>
              <w:br/>
            </w:r>
            <w:r>
              <w:rPr>
                <w:rFonts w:ascii="Aptos Mono" w:hAnsi="Aptos Mono"/>
                <w:b/>
                <w:color w:val="FFFFFF"/>
                <w:sz w:val="19"/>
              </w:rPr>
              <w:t>= SKU / beden tahmini</w:t>
            </w:r>
          </w:p>
        </w:tc>
      </w:tr>
    </w:tbl>
    <w:p>
      <w:pPr>
        <w:spacing w:after="0"/>
      </w:pPr>
    </w:p>
    <w:p>
      <w:r>
        <w:t>Doğrudan her beden için ayrı trend kurmak, az gözlem nedeniyle oynak sonuç üretir. Önce daha güçlü sinyal taşıyan model-renk toplamı tahmin edilir. Beden payı, modelin kendi geçmişi ve ürün ailesinin daha kararlı beden eğrisiyle yumuşatılır. Örnek başlangıç formülü aşağıdadır; %70/%30 sabit doğru değil, veri hacmi ve backtest'e göre ayarlanacak parametredir.</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Nihai beden payı = %70 modelin kendi beden geçmişi</w:t>
            </w:r>
            <w:r>
              <w:br/>
            </w:r>
            <w:r>
              <w:rPr>
                <w:rFonts w:ascii="Aptos Mono" w:hAnsi="Aptos Mono"/>
                <w:b/>
                <w:color w:val="FFFFFF"/>
                <w:sz w:val="19"/>
              </w:rPr>
              <w:t>+ %30 ürün ailesi beden dağılımı</w:t>
            </w:r>
          </w:p>
        </w:tc>
      </w:tr>
    </w:tbl>
    <w:p>
      <w:pPr>
        <w:spacing w:after="0"/>
      </w:pP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551"/>
            <w:vAlign w:val="center"/>
            <w:tcMar>
              <w:top w:w="100" w:type="dxa"/>
              <w:start w:w="120" w:type="dxa"/>
              <w:bottom w:w="100" w:type="dxa"/>
              <w:end w:w="120" w:type="dxa"/>
            </w:tcMar>
            <w:shd w:fill="17324D"/>
          </w:tcPr>
          <w:p>
            <w:pPr>
              <w:spacing w:after="0"/>
            </w:pPr>
            <w:r/>
            <w:r>
              <w:rPr>
                <w:rFonts w:ascii="Aptos" w:hAnsi="Aptos"/>
                <w:b/>
                <w:color w:val="FFFFFF"/>
                <w:sz w:val="16"/>
              </w:rPr>
              <w:t>Beden</w:t>
            </w:r>
          </w:p>
        </w:tc>
        <w:tc>
          <w:tcPr>
            <w:tcW w:type="dxa" w:w="3118"/>
            <w:vAlign w:val="center"/>
            <w:tcMar>
              <w:top w:w="100" w:type="dxa"/>
              <w:start w:w="120" w:type="dxa"/>
              <w:bottom w:w="100" w:type="dxa"/>
              <w:end w:w="120" w:type="dxa"/>
            </w:tcMar>
            <w:shd w:fill="17324D"/>
          </w:tcPr>
          <w:p>
            <w:pPr>
              <w:spacing w:after="0"/>
            </w:pPr>
            <w:r/>
            <w:r>
              <w:rPr>
                <w:rFonts w:ascii="Aptos" w:hAnsi="Aptos"/>
                <w:b/>
                <w:color w:val="FFFFFF"/>
                <w:sz w:val="16"/>
              </w:rPr>
              <w:t>Geçmiş pay</w:t>
            </w:r>
          </w:p>
        </w:tc>
        <w:tc>
          <w:tcPr>
            <w:tcW w:type="dxa" w:w="3572"/>
            <w:vAlign w:val="center"/>
            <w:tcMar>
              <w:top w:w="100" w:type="dxa"/>
              <w:start w:w="120" w:type="dxa"/>
              <w:bottom w:w="100" w:type="dxa"/>
              <w:end w:w="120" w:type="dxa"/>
            </w:tcMar>
            <w:shd w:fill="17324D"/>
          </w:tcPr>
          <w:p>
            <w:pPr>
              <w:spacing w:after="0"/>
            </w:pPr>
            <w:r/>
            <w:r>
              <w:rPr>
                <w:rFonts w:ascii="Aptos" w:hAnsi="Aptos"/>
                <w:b/>
                <w:color w:val="FFFFFF"/>
                <w:sz w:val="16"/>
              </w:rPr>
              <w:t>200 adet tahminde dağılım</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color w:val="202B33"/>
                <w:sz w:val="18"/>
              </w:rPr>
              <w:t>34</w:t>
            </w:r>
          </w:p>
        </w:tc>
        <w:tc>
          <w:tcPr>
            <w:tcW w:type="dxa" w:w="3118"/>
            <w:vAlign w:val="center"/>
            <w:tcMar>
              <w:top w:w="100" w:type="dxa"/>
              <w:start w:w="120" w:type="dxa"/>
              <w:bottom w:w="100" w:type="dxa"/>
              <w:end w:w="120" w:type="dxa"/>
            </w:tcMar>
          </w:tcPr>
          <w:p>
            <w:pPr>
              <w:spacing w:after="0"/>
            </w:pPr>
            <w:r/>
            <w:r>
              <w:rPr>
                <w:rFonts w:ascii="Aptos" w:hAnsi="Aptos"/>
                <w:b w:val="0"/>
                <w:color w:val="202B33"/>
                <w:sz w:val="18"/>
              </w:rPr>
              <w:t>%12</w:t>
            </w:r>
          </w:p>
        </w:tc>
        <w:tc>
          <w:tcPr>
            <w:tcW w:type="dxa" w:w="3572"/>
            <w:vAlign w:val="center"/>
            <w:tcMar>
              <w:top w:w="100" w:type="dxa"/>
              <w:start w:w="120" w:type="dxa"/>
              <w:bottom w:w="100" w:type="dxa"/>
              <w:end w:w="120" w:type="dxa"/>
            </w:tcMar>
          </w:tcPr>
          <w:p>
            <w:pPr>
              <w:spacing w:after="0"/>
            </w:pPr>
            <w:r/>
            <w:r>
              <w:rPr>
                <w:rFonts w:ascii="Aptos" w:hAnsi="Aptos"/>
                <w:b w:val="0"/>
                <w:color w:val="202B33"/>
                <w:sz w:val="18"/>
              </w:rPr>
              <w:t>24</w:t>
            </w:r>
          </w:p>
        </w:tc>
      </w:tr>
      <w:tr>
        <w:trPr>
          <w:cantSplit/>
        </w:trPr>
        <w:tc>
          <w:tcPr>
            <w:tcW w:type="dxa" w:w="2551"/>
            <w:vAlign w:val="center"/>
            <w:tcMar>
              <w:top w:w="100" w:type="dxa"/>
              <w:start w:w="120" w:type="dxa"/>
              <w:bottom w:w="100" w:type="dxa"/>
              <w:end w:w="120" w:type="dxa"/>
            </w:tcMar>
            <w:shd w:fill="F3F5F7"/>
          </w:tcPr>
          <w:p>
            <w:pPr>
              <w:spacing w:after="0"/>
            </w:pPr>
            <w:r/>
            <w:r>
              <w:rPr>
                <w:rFonts w:ascii="Aptos" w:hAnsi="Aptos"/>
                <w:b w:val="0"/>
                <w:color w:val="202B33"/>
                <w:sz w:val="18"/>
              </w:rPr>
              <w:t>36</w:t>
            </w:r>
          </w:p>
        </w:tc>
        <w:tc>
          <w:tcPr>
            <w:tcW w:type="dxa" w:w="3118"/>
            <w:vAlign w:val="center"/>
            <w:tcMar>
              <w:top w:w="100" w:type="dxa"/>
              <w:start w:w="120" w:type="dxa"/>
              <w:bottom w:w="100" w:type="dxa"/>
              <w:end w:w="120" w:type="dxa"/>
            </w:tcMar>
            <w:shd w:fill="F3F5F7"/>
          </w:tcPr>
          <w:p>
            <w:pPr>
              <w:spacing w:after="0"/>
            </w:pPr>
            <w:r/>
            <w:r>
              <w:rPr>
                <w:rFonts w:ascii="Aptos" w:hAnsi="Aptos"/>
                <w:b w:val="0"/>
                <w:color w:val="202B33"/>
                <w:sz w:val="18"/>
              </w:rPr>
              <w:t>%27</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8"/>
              </w:rPr>
              <w:t>54</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color w:val="202B33"/>
                <w:sz w:val="18"/>
              </w:rPr>
              <w:t>38</w:t>
            </w:r>
          </w:p>
        </w:tc>
        <w:tc>
          <w:tcPr>
            <w:tcW w:type="dxa" w:w="3118"/>
            <w:vAlign w:val="center"/>
            <w:tcMar>
              <w:top w:w="100" w:type="dxa"/>
              <w:start w:w="120" w:type="dxa"/>
              <w:bottom w:w="100" w:type="dxa"/>
              <w:end w:w="120" w:type="dxa"/>
            </w:tcMar>
          </w:tcPr>
          <w:p>
            <w:pPr>
              <w:spacing w:after="0"/>
            </w:pPr>
            <w:r/>
            <w:r>
              <w:rPr>
                <w:rFonts w:ascii="Aptos" w:hAnsi="Aptos"/>
                <w:b w:val="0"/>
                <w:color w:val="202B33"/>
                <w:sz w:val="18"/>
              </w:rPr>
              <w:t>%32</w:t>
            </w:r>
          </w:p>
        </w:tc>
        <w:tc>
          <w:tcPr>
            <w:tcW w:type="dxa" w:w="3572"/>
            <w:vAlign w:val="center"/>
            <w:tcMar>
              <w:top w:w="100" w:type="dxa"/>
              <w:start w:w="120" w:type="dxa"/>
              <w:bottom w:w="100" w:type="dxa"/>
              <w:end w:w="120" w:type="dxa"/>
            </w:tcMar>
          </w:tcPr>
          <w:p>
            <w:pPr>
              <w:spacing w:after="0"/>
            </w:pPr>
            <w:r/>
            <w:r>
              <w:rPr>
                <w:rFonts w:ascii="Aptos" w:hAnsi="Aptos"/>
                <w:b w:val="0"/>
                <w:color w:val="202B33"/>
                <w:sz w:val="18"/>
              </w:rPr>
              <w:t>64</w:t>
            </w:r>
          </w:p>
        </w:tc>
      </w:tr>
      <w:tr>
        <w:trPr>
          <w:cantSplit/>
        </w:trPr>
        <w:tc>
          <w:tcPr>
            <w:tcW w:type="dxa" w:w="2551"/>
            <w:vAlign w:val="center"/>
            <w:tcMar>
              <w:top w:w="100" w:type="dxa"/>
              <w:start w:w="120" w:type="dxa"/>
              <w:bottom w:w="100" w:type="dxa"/>
              <w:end w:w="120" w:type="dxa"/>
            </w:tcMar>
            <w:shd w:fill="F3F5F7"/>
          </w:tcPr>
          <w:p>
            <w:pPr>
              <w:spacing w:after="0"/>
            </w:pPr>
            <w:r/>
            <w:r>
              <w:rPr>
                <w:rFonts w:ascii="Aptos" w:hAnsi="Aptos"/>
                <w:b w:val="0"/>
                <w:color w:val="202B33"/>
                <w:sz w:val="18"/>
              </w:rPr>
              <w:t>40</w:t>
            </w:r>
          </w:p>
        </w:tc>
        <w:tc>
          <w:tcPr>
            <w:tcW w:type="dxa" w:w="3118"/>
            <w:vAlign w:val="center"/>
            <w:tcMar>
              <w:top w:w="100" w:type="dxa"/>
              <w:start w:w="120" w:type="dxa"/>
              <w:bottom w:w="100" w:type="dxa"/>
              <w:end w:w="120" w:type="dxa"/>
            </w:tcMar>
            <w:shd w:fill="F3F5F7"/>
          </w:tcPr>
          <w:p>
            <w:pPr>
              <w:spacing w:after="0"/>
            </w:pPr>
            <w:r/>
            <w:r>
              <w:rPr>
                <w:rFonts w:ascii="Aptos" w:hAnsi="Aptos"/>
                <w:b w:val="0"/>
                <w:color w:val="202B33"/>
                <w:sz w:val="18"/>
              </w:rPr>
              <w:t>%20</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8"/>
              </w:rPr>
              <w:t>40</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color w:val="202B33"/>
                <w:sz w:val="18"/>
              </w:rPr>
              <w:t>42</w:t>
            </w:r>
          </w:p>
        </w:tc>
        <w:tc>
          <w:tcPr>
            <w:tcW w:type="dxa" w:w="3118"/>
            <w:vAlign w:val="center"/>
            <w:tcMar>
              <w:top w:w="100" w:type="dxa"/>
              <w:start w:w="120" w:type="dxa"/>
              <w:bottom w:w="100" w:type="dxa"/>
              <w:end w:w="120" w:type="dxa"/>
            </w:tcMar>
          </w:tcPr>
          <w:p>
            <w:pPr>
              <w:spacing w:after="0"/>
            </w:pPr>
            <w:r/>
            <w:r>
              <w:rPr>
                <w:rFonts w:ascii="Aptos" w:hAnsi="Aptos"/>
                <w:b w:val="0"/>
                <w:color w:val="202B33"/>
                <w:sz w:val="18"/>
              </w:rPr>
              <w:t>%9</w:t>
            </w:r>
          </w:p>
        </w:tc>
        <w:tc>
          <w:tcPr>
            <w:tcW w:type="dxa" w:w="3572"/>
            <w:vAlign w:val="center"/>
            <w:tcMar>
              <w:top w:w="100" w:type="dxa"/>
              <w:start w:w="120" w:type="dxa"/>
              <w:bottom w:w="100" w:type="dxa"/>
              <w:end w:w="120" w:type="dxa"/>
            </w:tcMar>
          </w:tcPr>
          <w:p>
            <w:pPr>
              <w:spacing w:after="0"/>
            </w:pPr>
            <w:r/>
            <w:r>
              <w:rPr>
                <w:rFonts w:ascii="Aptos" w:hAnsi="Aptos"/>
                <w:b w:val="0"/>
                <w:color w:val="202B33"/>
                <w:sz w:val="18"/>
              </w:rPr>
              <w:t>18</w:t>
            </w:r>
          </w:p>
        </w:tc>
      </w:tr>
    </w:tbl>
    <w:p>
      <w:pPr>
        <w:spacing w:after="0"/>
      </w:pPr>
    </w:p>
    <w:p>
      <w:pPr>
        <w:pStyle w:val="Heading2"/>
      </w:pPr>
      <w:r>
        <w:t>4.8 Adım 7 — Erişilebilir (offerable) stok</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Offerable stok = max(0, available − commitments</w:t>
            </w:r>
            <w:r>
              <w:br/>
            </w:r>
            <w:r>
              <w:rPr>
                <w:rFonts w:ascii="Aptos Mono" w:hAnsi="Aptos Mono"/>
                <w:b/>
                <w:color w:val="FFFFFF"/>
                <w:sz w:val="19"/>
              </w:rPr>
              <w:t>− kalite/bloke stok − kanal rezervasyonu)</w:t>
            </w:r>
          </w:p>
        </w:tc>
      </w:tr>
    </w:tbl>
    <w:p>
      <w:pPr>
        <w:spacing w:after="0"/>
      </w:pPr>
    </w:p>
    <w:p>
      <w:r>
        <w:t>Neden available stok doğrudan düşülmez: Satışa açık görünen miktarın bir bölümü mevcut siparişe taahhüt edilmiş, kalite kontrolünde veya belirli kanala ayrılmış olabilir. Ayrıca NetSuite hesabında location quantity available zaten committed miktarı düşüyorsa ikinci kez düşülmemelidir; hesap modu keşif sırasında sabitlenir. Negatif stok raporlanır ancak offerable hesapta sıfıra tabanlanır.</w:t>
      </w:r>
    </w:p>
    <w:p>
      <w:pPr>
        <w:pStyle w:val="Heading2"/>
      </w:pPr>
      <w:r>
        <w:t>4.9 Adım 8 — Plan ufkuna yetişen gelecek arz</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Kullanılabilir gelecek arz = ufuk içi açık Work Order</w:t>
            </w:r>
            <w:r>
              <w:br/>
            </w:r>
            <w:r>
              <w:rPr>
                <w:rFonts w:ascii="Aptos Mono" w:hAnsi="Aptos Mono"/>
                <w:b w:val="0"/>
                <w:color w:val="FFFFFF"/>
                <w:sz w:val="19"/>
              </w:rPr>
              <w:t>+ tekilleştirilmiş PO / Inbound Shipment</w:t>
            </w:r>
            <w:r>
              <w:br/>
            </w:r>
            <w:r>
              <w:rPr>
                <w:rFonts w:ascii="Aptos Mono" w:hAnsi="Aptos Mono"/>
                <w:b/>
                <w:color w:val="FFFFFF"/>
                <w:sz w:val="19"/>
              </w:rPr>
              <w:t>+ izinli ve zamanında Transfer Order</w:t>
            </w:r>
          </w:p>
        </w:tc>
      </w:tr>
    </w:tbl>
    <w:p>
      <w:pPr>
        <w:spacing w:after="0"/>
      </w:pPr>
    </w:p>
    <w:p>
      <w:r>
        <w:t>Neden yalnızca tarihli ve zamanında arz: Plan dönemi bittikten sonra gelecek üretim veya satın alma bugünkü talebi karşılayamaz. PO satırı Inbound Shipment'a bağlandıysa ikisi aynı fiziksel arz olduğundan bir kez sayılır. Tarihi olmayan açık arz ihtiyaçtan düşülmez. Gecikmiş fakat açık arz ilk haftaya taşınırsa late_supply uyarısı taşımalıdır.</w:t>
      </w:r>
    </w:p>
    <w:p>
      <w:pPr>
        <w:pStyle w:val="Heading2"/>
      </w:pPr>
      <w:r>
        <w:t>4.10 Adım 9 — Güvenlik stoğu ve ham üretim ihtiyacı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Ham üretim ihtiyacı = beden tahmini + güvenlik stoğu</w:t>
            </w:r>
            <w:r>
              <w:br/>
            </w:r>
            <w:r>
              <w:rPr>
                <w:rFonts w:ascii="Aptos Mono" w:hAnsi="Aptos Mono"/>
                <w:b w:val="0"/>
                <w:color w:val="FFFFFF"/>
                <w:sz w:val="19"/>
              </w:rPr>
              <w:t>− erişilebilir mevcut stok − zamanında gelecek arz</w:t>
            </w:r>
            <w:r>
              <w:br/>
            </w:r>
            <w:r>
              <w:rPr>
                <w:rFonts w:ascii="Aptos Mono" w:hAnsi="Aptos Mono"/>
                <w:b/>
                <w:color w:val="FFFFFF"/>
                <w:sz w:val="19"/>
              </w:rPr>
              <w:t>Sonuç = max(0, ham ihtiyaç)</w:t>
            </w:r>
          </w:p>
        </w:tc>
      </w:tr>
    </w:tbl>
    <w:p>
      <w:pPr>
        <w:spacing w:after="0"/>
      </w:pPr>
    </w:p>
    <w:p>
      <w:r>
        <w:t>Neden: Forecast satış beklentisidir; üretim ihtiyacı ise bu beklentinin mevcut ve gelecek arzla karşılanamayan bölümüdür. Güvenlik stoğu talep/lead time belirsizliğine karşı ayrıca eklenir. MVP'de varsayılan sıfır olabilir; marka, ürün türü, kanal veya SKU seviyesinde yapılandırılır. Negatif ihtiyaç üretimi azaltmaz; sıfır öneri ve fazla stok sinyali üretir.</w:t>
      </w:r>
    </w:p>
    <w:p>
      <w:pPr>
        <w:pStyle w:val="Heading2"/>
      </w:pPr>
      <w:r>
        <w:t>4.11 Adım 10 — MOQ ve üretim katı</w:t>
      </w:r>
    </w:p>
    <w:tbl>
      <w:tblPr>
        <w:tblW w:type="auto" w:w="0"/>
        <w:tblLook w:firstColumn="1" w:firstRow="1" w:lastColumn="0" w:lastRow="0" w:noHBand="0" w:noVBand="1" w:val="04A0"/>
      </w:tblPr>
      <w:tblGrid>
        <w:gridCol w:w="9915"/>
      </w:tblGrid>
      <w:tr>
        <w:tc>
          <w:tcPr>
            <w:tcW w:type="dxa" w:w="9915"/>
            <w:shd w:fill="17324D"/>
            <w:tcMar>
              <w:top w:w="180" w:type="dxa"/>
              <w:start w:w="250" w:type="dxa"/>
              <w:bottom w:w="180" w:type="dxa"/>
              <w:end w:w="250" w:type="dxa"/>
            </w:tcMar>
          </w:tcPr>
          <w:p>
            <w:pPr>
              <w:jc w:val="center"/>
            </w:pPr>
            <w:r/>
            <w:r>
              <w:rPr>
                <w:rFonts w:ascii="Aptos Mono" w:hAnsi="Aptos Mono"/>
                <w:b/>
                <w:color w:val="FFFFFF"/>
                <w:sz w:val="19"/>
              </w:rPr>
              <w:t>Ham ihtiyaç ≤ 0 ise öneri = 0</w:t>
            </w:r>
            <w:r>
              <w:br/>
            </w:r>
            <w:r>
              <w:rPr>
                <w:rFonts w:ascii="Aptos Mono" w:hAnsi="Aptos Mono"/>
                <w:b/>
                <w:color w:val="FFFFFF"/>
                <w:sz w:val="19"/>
              </w:rPr>
              <w:t>Ham ihtiyaç &gt; 0 ise öneri = MOQ ve üretim katına yukarı yuvarla</w:t>
            </w:r>
          </w:p>
        </w:tc>
      </w:tr>
    </w:tbl>
    <w:p>
      <w:pPr>
        <w:spacing w:after="0"/>
      </w:pPr>
    </w:p>
    <w:p>
      <w:r>
        <w:t>Neden: 17 adet teorik ihtiyaç, minimum 25 adetlik üretim partisi varsa uygulanabilir emir değildir. Yuvarlama forecast'i değiştirmez; operasyonel üretim kararını uygulanabilir hale getirir. MOQ veya kat tanımı yoksa geçici varsayım 1'dir ve veri eksikliği ayrıca görünür olmalıdır.</w:t>
      </w:r>
    </w:p>
    <w:tbl>
      <w:tblPr>
        <w:tblStyle w:val="TableGrid"/>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trPr>
        <w:tc>
          <w:tcPr>
            <w:tcW w:type="dxa" w:w="1361"/>
            <w:vAlign w:val="center"/>
            <w:tcMar>
              <w:top w:w="100" w:type="dxa"/>
              <w:start w:w="120" w:type="dxa"/>
              <w:bottom w:w="100" w:type="dxa"/>
              <w:end w:w="120" w:type="dxa"/>
            </w:tcMar>
            <w:shd w:fill="17324D"/>
          </w:tcPr>
          <w:p>
            <w:pPr>
              <w:spacing w:after="0"/>
            </w:pPr>
            <w:r/>
            <w:r>
              <w:rPr>
                <w:rFonts w:ascii="Aptos" w:hAnsi="Aptos"/>
                <w:b/>
                <w:color w:val="FFFFFF"/>
                <w:sz w:val="16"/>
              </w:rPr>
              <w:t>Ham ihtiyaç</w:t>
            </w:r>
          </w:p>
        </w:tc>
        <w:tc>
          <w:tcPr>
            <w:tcW w:type="dxa" w:w="1361"/>
            <w:vAlign w:val="center"/>
            <w:tcMar>
              <w:top w:w="100" w:type="dxa"/>
              <w:start w:w="120" w:type="dxa"/>
              <w:bottom w:w="100" w:type="dxa"/>
              <w:end w:w="120" w:type="dxa"/>
            </w:tcMar>
            <w:shd w:fill="17324D"/>
          </w:tcPr>
          <w:p>
            <w:pPr>
              <w:spacing w:after="0"/>
            </w:pPr>
            <w:r/>
            <w:r>
              <w:rPr>
                <w:rFonts w:ascii="Aptos" w:hAnsi="Aptos"/>
                <w:b/>
                <w:color w:val="FFFFFF"/>
                <w:sz w:val="16"/>
              </w:rPr>
              <w:t>MOQ</w:t>
            </w:r>
          </w:p>
        </w:tc>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Üretim katı</w:t>
            </w:r>
          </w:p>
        </w:tc>
        <w:tc>
          <w:tcPr>
            <w:tcW w:type="dxa" w:w="1361"/>
            <w:vAlign w:val="center"/>
            <w:tcMar>
              <w:top w:w="100" w:type="dxa"/>
              <w:start w:w="120" w:type="dxa"/>
              <w:bottom w:w="100" w:type="dxa"/>
              <w:end w:w="120" w:type="dxa"/>
            </w:tcMar>
            <w:shd w:fill="17324D"/>
          </w:tcPr>
          <w:p>
            <w:pPr>
              <w:spacing w:after="0"/>
            </w:pPr>
            <w:r/>
            <w:r>
              <w:rPr>
                <w:rFonts w:ascii="Aptos" w:hAnsi="Aptos"/>
                <w:b/>
                <w:color w:val="FFFFFF"/>
                <w:sz w:val="16"/>
              </w:rPr>
              <w:t>Öneri</w:t>
            </w:r>
          </w:p>
        </w:tc>
        <w:tc>
          <w:tcPr>
            <w:tcW w:type="dxa" w:w="3458"/>
            <w:vAlign w:val="center"/>
            <w:tcMar>
              <w:top w:w="100" w:type="dxa"/>
              <w:start w:w="120" w:type="dxa"/>
              <w:bottom w:w="100" w:type="dxa"/>
              <w:end w:w="120" w:type="dxa"/>
            </w:tcMar>
            <w:shd w:fill="17324D"/>
          </w:tcPr>
          <w:p>
            <w:pPr>
              <w:spacing w:after="0"/>
            </w:pPr>
            <w:r/>
            <w:r>
              <w:rPr>
                <w:rFonts w:ascii="Aptos" w:hAnsi="Aptos"/>
                <w:b/>
                <w:color w:val="FFFFFF"/>
                <w:sz w:val="16"/>
              </w:rPr>
              <w:t>Gerekçe</w:t>
            </w:r>
          </w:p>
        </w:tc>
      </w:tr>
      <w:tr>
        <w:trPr>
          <w:cantSplit/>
        </w:trPr>
        <w:tc>
          <w:tcPr>
            <w:tcW w:type="dxa" w:w="1361"/>
            <w:vAlign w:val="center"/>
            <w:tcMar>
              <w:top w:w="100" w:type="dxa"/>
              <w:start w:w="120" w:type="dxa"/>
              <w:bottom w:w="100" w:type="dxa"/>
              <w:end w:w="120" w:type="dxa"/>
            </w:tcMar>
          </w:tcPr>
          <w:p>
            <w:pPr>
              <w:spacing w:after="0"/>
            </w:pPr>
            <w:r/>
            <w:r>
              <w:rPr>
                <w:rFonts w:ascii="Aptos" w:hAnsi="Aptos"/>
                <w:b w:val="0"/>
                <w:color w:val="202B33"/>
                <w:sz w:val="17"/>
              </w:rPr>
              <w:t>0</w:t>
            </w:r>
          </w:p>
        </w:tc>
        <w:tc>
          <w:tcPr>
            <w:tcW w:type="dxa" w:w="1361"/>
            <w:vAlign w:val="center"/>
            <w:tcMar>
              <w:top w:w="100" w:type="dxa"/>
              <w:start w:w="120" w:type="dxa"/>
              <w:bottom w:w="100" w:type="dxa"/>
              <w:end w:w="120" w:type="dxa"/>
            </w:tcMar>
          </w:tcPr>
          <w:p>
            <w:pPr>
              <w:spacing w:after="0"/>
            </w:pPr>
            <w:r/>
            <w:r>
              <w:rPr>
                <w:rFonts w:ascii="Aptos" w:hAnsi="Aptos"/>
                <w:b w:val="0"/>
                <w:color w:val="202B33"/>
                <w:sz w:val="17"/>
              </w:rPr>
              <w:t>25</w:t>
            </w:r>
          </w:p>
        </w:tc>
        <w:tc>
          <w:tcPr>
            <w:tcW w:type="dxa" w:w="1701"/>
            <w:vAlign w:val="center"/>
            <w:tcMar>
              <w:top w:w="100" w:type="dxa"/>
              <w:start w:w="120" w:type="dxa"/>
              <w:bottom w:w="100" w:type="dxa"/>
              <w:end w:w="120" w:type="dxa"/>
            </w:tcMar>
          </w:tcPr>
          <w:p>
            <w:pPr>
              <w:spacing w:after="0"/>
            </w:pPr>
            <w:r/>
            <w:r>
              <w:rPr>
                <w:rFonts w:ascii="Aptos" w:hAnsi="Aptos"/>
                <w:b w:val="0"/>
                <w:color w:val="202B33"/>
                <w:sz w:val="17"/>
              </w:rPr>
              <w:t>5</w:t>
            </w:r>
          </w:p>
        </w:tc>
        <w:tc>
          <w:tcPr>
            <w:tcW w:type="dxa" w:w="1361"/>
            <w:vAlign w:val="center"/>
            <w:tcMar>
              <w:top w:w="100" w:type="dxa"/>
              <w:start w:w="120" w:type="dxa"/>
              <w:bottom w:w="100" w:type="dxa"/>
              <w:end w:w="120" w:type="dxa"/>
            </w:tcMar>
          </w:tcPr>
          <w:p>
            <w:pPr>
              <w:spacing w:after="0"/>
            </w:pPr>
            <w:r/>
            <w:r>
              <w:rPr>
                <w:rFonts w:ascii="Aptos" w:hAnsi="Aptos"/>
                <w:b w:val="0"/>
                <w:color w:val="202B33"/>
                <w:sz w:val="17"/>
              </w:rPr>
              <w:t>0</w:t>
            </w:r>
          </w:p>
        </w:tc>
        <w:tc>
          <w:tcPr>
            <w:tcW w:type="dxa" w:w="3458"/>
            <w:vAlign w:val="center"/>
            <w:tcMar>
              <w:top w:w="100" w:type="dxa"/>
              <w:start w:w="120" w:type="dxa"/>
              <w:bottom w:w="100" w:type="dxa"/>
              <w:end w:w="120" w:type="dxa"/>
            </w:tcMar>
          </w:tcPr>
          <w:p>
            <w:pPr>
              <w:spacing w:after="0"/>
            </w:pPr>
            <w:r/>
            <w:r>
              <w:rPr>
                <w:rFonts w:ascii="Aptos" w:hAnsi="Aptos"/>
                <w:b w:val="0"/>
                <w:color w:val="202B33"/>
                <w:sz w:val="17"/>
              </w:rPr>
              <w:t>Yeni üretim gerekmiyor</w:t>
            </w:r>
          </w:p>
        </w:tc>
      </w:tr>
      <w:tr>
        <w:trPr>
          <w:cantSplit/>
        </w:trPr>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17</w:t>
            </w:r>
          </w:p>
        </w:tc>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25</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7"/>
              </w:rPr>
              <w:t>5</w:t>
            </w:r>
          </w:p>
        </w:tc>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25</w:t>
            </w:r>
          </w:p>
        </w:tc>
        <w:tc>
          <w:tcPr>
            <w:tcW w:type="dxa" w:w="3458"/>
            <w:vAlign w:val="center"/>
            <w:tcMar>
              <w:top w:w="100" w:type="dxa"/>
              <w:start w:w="120" w:type="dxa"/>
              <w:bottom w:w="100" w:type="dxa"/>
              <w:end w:w="120" w:type="dxa"/>
            </w:tcMar>
            <w:shd w:fill="F3F5F7"/>
          </w:tcPr>
          <w:p>
            <w:pPr>
              <w:spacing w:after="0"/>
            </w:pPr>
            <w:r/>
            <w:r>
              <w:rPr>
                <w:rFonts w:ascii="Aptos" w:hAnsi="Aptos"/>
                <w:b w:val="0"/>
                <w:color w:val="202B33"/>
                <w:sz w:val="17"/>
              </w:rPr>
              <w:t>MOQ altı ihtiyaç minimum partiye çıkar</w:t>
            </w:r>
          </w:p>
        </w:tc>
      </w:tr>
      <w:tr>
        <w:trPr>
          <w:cantSplit/>
        </w:trPr>
        <w:tc>
          <w:tcPr>
            <w:tcW w:type="dxa" w:w="1361"/>
            <w:vAlign w:val="center"/>
            <w:tcMar>
              <w:top w:w="100" w:type="dxa"/>
              <w:start w:w="120" w:type="dxa"/>
              <w:bottom w:w="100" w:type="dxa"/>
              <w:end w:w="120" w:type="dxa"/>
            </w:tcMar>
          </w:tcPr>
          <w:p>
            <w:pPr>
              <w:spacing w:after="0"/>
            </w:pPr>
            <w:r/>
            <w:r>
              <w:rPr>
                <w:rFonts w:ascii="Aptos" w:hAnsi="Aptos"/>
                <w:b w:val="0"/>
                <w:color w:val="202B33"/>
                <w:sz w:val="17"/>
              </w:rPr>
              <w:t>27</w:t>
            </w:r>
          </w:p>
        </w:tc>
        <w:tc>
          <w:tcPr>
            <w:tcW w:type="dxa" w:w="1361"/>
            <w:vAlign w:val="center"/>
            <w:tcMar>
              <w:top w:w="100" w:type="dxa"/>
              <w:start w:w="120" w:type="dxa"/>
              <w:bottom w:w="100" w:type="dxa"/>
              <w:end w:w="120" w:type="dxa"/>
            </w:tcMar>
          </w:tcPr>
          <w:p>
            <w:pPr>
              <w:spacing w:after="0"/>
            </w:pPr>
            <w:r/>
            <w:r>
              <w:rPr>
                <w:rFonts w:ascii="Aptos" w:hAnsi="Aptos"/>
                <w:b w:val="0"/>
                <w:color w:val="202B33"/>
                <w:sz w:val="17"/>
              </w:rPr>
              <w:t>25</w:t>
            </w:r>
          </w:p>
        </w:tc>
        <w:tc>
          <w:tcPr>
            <w:tcW w:type="dxa" w:w="1701"/>
            <w:vAlign w:val="center"/>
            <w:tcMar>
              <w:top w:w="100" w:type="dxa"/>
              <w:start w:w="120" w:type="dxa"/>
              <w:bottom w:w="100" w:type="dxa"/>
              <w:end w:w="120" w:type="dxa"/>
            </w:tcMar>
          </w:tcPr>
          <w:p>
            <w:pPr>
              <w:spacing w:after="0"/>
            </w:pPr>
            <w:r/>
            <w:r>
              <w:rPr>
                <w:rFonts w:ascii="Aptos" w:hAnsi="Aptos"/>
                <w:b w:val="0"/>
                <w:color w:val="202B33"/>
                <w:sz w:val="17"/>
              </w:rPr>
              <w:t>5</w:t>
            </w:r>
          </w:p>
        </w:tc>
        <w:tc>
          <w:tcPr>
            <w:tcW w:type="dxa" w:w="1361"/>
            <w:vAlign w:val="center"/>
            <w:tcMar>
              <w:top w:w="100" w:type="dxa"/>
              <w:start w:w="120" w:type="dxa"/>
              <w:bottom w:w="100" w:type="dxa"/>
              <w:end w:w="120" w:type="dxa"/>
            </w:tcMar>
          </w:tcPr>
          <w:p>
            <w:pPr>
              <w:spacing w:after="0"/>
            </w:pPr>
            <w:r/>
            <w:r>
              <w:rPr>
                <w:rFonts w:ascii="Aptos" w:hAnsi="Aptos"/>
                <w:b w:val="0"/>
                <w:color w:val="202B33"/>
                <w:sz w:val="17"/>
              </w:rPr>
              <w:t>30</w:t>
            </w:r>
          </w:p>
        </w:tc>
        <w:tc>
          <w:tcPr>
            <w:tcW w:type="dxa" w:w="3458"/>
            <w:vAlign w:val="center"/>
            <w:tcMar>
              <w:top w:w="100" w:type="dxa"/>
              <w:start w:w="120" w:type="dxa"/>
              <w:bottom w:w="100" w:type="dxa"/>
              <w:end w:w="120" w:type="dxa"/>
            </w:tcMar>
          </w:tcPr>
          <w:p>
            <w:pPr>
              <w:spacing w:after="0"/>
            </w:pPr>
            <w:r/>
            <w:r>
              <w:rPr>
                <w:rFonts w:ascii="Aptos" w:hAnsi="Aptos"/>
                <w:b w:val="0"/>
                <w:color w:val="202B33"/>
                <w:sz w:val="17"/>
              </w:rPr>
              <w:t>Üretim katına yukarı yuvarlanır</w:t>
            </w:r>
          </w:p>
        </w:tc>
      </w:tr>
      <w:tr>
        <w:trPr>
          <w:cantSplit/>
        </w:trPr>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61</w:t>
            </w:r>
          </w:p>
        </w:tc>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20</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7"/>
              </w:rPr>
              <w:t>10</w:t>
            </w:r>
          </w:p>
        </w:tc>
        <w:tc>
          <w:tcPr>
            <w:tcW w:type="dxa" w:w="1361"/>
            <w:vAlign w:val="center"/>
            <w:tcMar>
              <w:top w:w="100" w:type="dxa"/>
              <w:start w:w="120" w:type="dxa"/>
              <w:bottom w:w="100" w:type="dxa"/>
              <w:end w:w="120" w:type="dxa"/>
            </w:tcMar>
            <w:shd w:fill="F3F5F7"/>
          </w:tcPr>
          <w:p>
            <w:pPr>
              <w:spacing w:after="0"/>
            </w:pPr>
            <w:r/>
            <w:r>
              <w:rPr>
                <w:rFonts w:ascii="Aptos" w:hAnsi="Aptos"/>
                <w:b w:val="0"/>
                <w:color w:val="202B33"/>
                <w:sz w:val="17"/>
              </w:rPr>
              <w:t>70</w:t>
            </w:r>
          </w:p>
        </w:tc>
        <w:tc>
          <w:tcPr>
            <w:tcW w:type="dxa" w:w="3458"/>
            <w:vAlign w:val="center"/>
            <w:tcMar>
              <w:top w:w="100" w:type="dxa"/>
              <w:start w:w="120" w:type="dxa"/>
              <w:bottom w:w="100" w:type="dxa"/>
              <w:end w:w="120" w:type="dxa"/>
            </w:tcMar>
            <w:shd w:fill="F3F5F7"/>
          </w:tcPr>
          <w:p>
            <w:pPr>
              <w:spacing w:after="0"/>
            </w:pPr>
            <w:r/>
            <w:r>
              <w:rPr>
                <w:rFonts w:ascii="Aptos" w:hAnsi="Aptos"/>
                <w:b w:val="0"/>
                <w:color w:val="202B33"/>
                <w:sz w:val="17"/>
              </w:rPr>
              <w:t>İhtiyacı karşılayan ilk geçerli kat</w:t>
            </w:r>
          </w:p>
        </w:tc>
      </w:tr>
    </w:tbl>
    <w:p>
      <w:pPr>
        <w:spacing w:after="0"/>
      </w:pPr>
    </w:p>
    <w:p>
      <w:pPr>
        <w:pStyle w:val="Heading2"/>
      </w:pPr>
      <w:r>
        <w:t>4.12 Adım 11 — Kanal ve lokasyon alokasyonu</w:t>
      </w:r>
    </w:p>
    <w:p>
      <w:r>
        <w:t>Toplam stok varlığı, her kanalın o stoğu kullanabileceği anlamına gelmez. Her kanal yalnızca aktif kanal-lokasyon erişim matrisindeki lokasyonları tüketebilir. Dedicated lokasyonlar başka kanala açılmaz; minimum stok, servis önceliği, net talep payı ve ihtiyaç haftası dikkate alınır. Bilinmeyen eşleşme varsayılan olarak kapalıdır.</w:t>
      </w: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948"/>
            <w:vAlign w:val="center"/>
            <w:tcMar>
              <w:top w:w="100" w:type="dxa"/>
              <w:start w:w="120" w:type="dxa"/>
              <w:bottom w:w="100" w:type="dxa"/>
              <w:end w:w="120" w:type="dxa"/>
            </w:tcMar>
            <w:shd w:fill="17324D"/>
          </w:tcPr>
          <w:p>
            <w:pPr>
              <w:spacing w:after="0"/>
            </w:pPr>
            <w:r/>
            <w:r>
              <w:rPr>
                <w:rFonts w:ascii="Aptos" w:hAnsi="Aptos"/>
                <w:b/>
                <w:color w:val="FFFFFF"/>
                <w:sz w:val="16"/>
              </w:rPr>
              <w:t>Kural</w:t>
            </w:r>
          </w:p>
        </w:tc>
        <w:tc>
          <w:tcPr>
            <w:tcW w:type="dxa" w:w="6293"/>
            <w:vAlign w:val="center"/>
            <w:tcMar>
              <w:top w:w="100" w:type="dxa"/>
              <w:start w:w="120" w:type="dxa"/>
              <w:bottom w:w="100" w:type="dxa"/>
              <w:end w:w="120" w:type="dxa"/>
            </w:tcMar>
            <w:shd w:fill="17324D"/>
          </w:tcPr>
          <w:p>
            <w:pPr>
              <w:spacing w:after="0"/>
            </w:pPr>
            <w:r/>
            <w:r>
              <w:rPr>
                <w:rFonts w:ascii="Aptos" w:hAnsi="Aptos"/>
                <w:b/>
                <w:color w:val="FFFFFF"/>
                <w:sz w:val="16"/>
              </w:rPr>
              <w:t>Neden</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7"/>
              </w:rPr>
              <w:t>can_consume</w:t>
            </w:r>
          </w:p>
        </w:tc>
        <w:tc>
          <w:tcPr>
            <w:tcW w:type="dxa" w:w="6293"/>
            <w:vAlign w:val="center"/>
            <w:tcMar>
              <w:top w:w="100" w:type="dxa"/>
              <w:start w:w="120" w:type="dxa"/>
              <w:bottom w:w="100" w:type="dxa"/>
              <w:end w:w="120" w:type="dxa"/>
            </w:tcMar>
          </w:tcPr>
          <w:p>
            <w:pPr>
              <w:spacing w:after="0"/>
            </w:pPr>
            <w:r/>
            <w:r>
              <w:rPr>
                <w:rFonts w:ascii="Aptos" w:hAnsi="Aptos"/>
                <w:b w:val="0"/>
                <w:color w:val="202B33"/>
                <w:sz w:val="17"/>
              </w:rPr>
              <w:t>Kanalın lokasyon stoğunu kullanma hakkını sınırlar</w:t>
            </w:r>
          </w:p>
        </w:tc>
      </w:tr>
      <w:tr>
        <w:trPr>
          <w:cantSplit/>
        </w:trPr>
        <w:tc>
          <w:tcPr>
            <w:tcW w:type="dxa" w:w="2948"/>
            <w:vAlign w:val="center"/>
            <w:tcMar>
              <w:top w:w="100" w:type="dxa"/>
              <w:start w:w="120" w:type="dxa"/>
              <w:bottom w:w="100" w:type="dxa"/>
              <w:end w:w="120" w:type="dxa"/>
            </w:tcMar>
            <w:shd w:fill="F3F5F7"/>
          </w:tcPr>
          <w:p>
            <w:pPr>
              <w:spacing w:after="0"/>
            </w:pPr>
            <w:r/>
            <w:r>
              <w:rPr>
                <w:rFonts w:ascii="Aptos" w:hAnsi="Aptos"/>
                <w:b w:val="0"/>
                <w:color w:val="202B33"/>
                <w:sz w:val="17"/>
              </w:rPr>
              <w:t>is_dedicated</w:t>
            </w:r>
          </w:p>
        </w:tc>
        <w:tc>
          <w:tcPr>
            <w:tcW w:type="dxa" w:w="6293"/>
            <w:vAlign w:val="center"/>
            <w:tcMar>
              <w:top w:w="100" w:type="dxa"/>
              <w:start w:w="120" w:type="dxa"/>
              <w:bottom w:w="100" w:type="dxa"/>
              <w:end w:w="120" w:type="dxa"/>
            </w:tcMar>
            <w:shd w:fill="F3F5F7"/>
          </w:tcPr>
          <w:p>
            <w:pPr>
              <w:spacing w:after="0"/>
            </w:pPr>
            <w:r/>
            <w:r>
              <w:rPr>
                <w:rFonts w:ascii="Aptos" w:hAnsi="Aptos"/>
                <w:b w:val="0"/>
                <w:color w:val="202B33"/>
                <w:sz w:val="17"/>
              </w:rPr>
              <w:t>Ayrılmış stoğun başka kanala yanlış tahsisini engeller</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7"/>
              </w:rPr>
              <w:t>priority</w:t>
            </w:r>
          </w:p>
        </w:tc>
        <w:tc>
          <w:tcPr>
            <w:tcW w:type="dxa" w:w="6293"/>
            <w:vAlign w:val="center"/>
            <w:tcMar>
              <w:top w:w="100" w:type="dxa"/>
              <w:start w:w="120" w:type="dxa"/>
              <w:bottom w:w="100" w:type="dxa"/>
              <w:end w:w="120" w:type="dxa"/>
            </w:tcMar>
          </w:tcPr>
          <w:p>
            <w:pPr>
              <w:spacing w:after="0"/>
            </w:pPr>
            <w:r/>
            <w:r>
              <w:rPr>
                <w:rFonts w:ascii="Aptos" w:hAnsi="Aptos"/>
                <w:b w:val="0"/>
                <w:color w:val="202B33"/>
                <w:sz w:val="17"/>
              </w:rPr>
              <w:t>Aynı kanal için kaynak lokasyon sırasını belirler</w:t>
            </w:r>
          </w:p>
        </w:tc>
      </w:tr>
      <w:tr>
        <w:trPr>
          <w:cantSplit/>
        </w:trPr>
        <w:tc>
          <w:tcPr>
            <w:tcW w:type="dxa" w:w="2948"/>
            <w:vAlign w:val="center"/>
            <w:tcMar>
              <w:top w:w="100" w:type="dxa"/>
              <w:start w:w="120" w:type="dxa"/>
              <w:bottom w:w="100" w:type="dxa"/>
              <w:end w:w="120" w:type="dxa"/>
            </w:tcMar>
            <w:shd w:fill="F3F5F7"/>
          </w:tcPr>
          <w:p>
            <w:pPr>
              <w:spacing w:after="0"/>
            </w:pPr>
            <w:r/>
            <w:r>
              <w:rPr>
                <w:rFonts w:ascii="Aptos" w:hAnsi="Aptos"/>
                <w:b w:val="0"/>
                <w:color w:val="202B33"/>
                <w:sz w:val="17"/>
              </w:rPr>
              <w:t>min_stock_qty</w:t>
            </w:r>
          </w:p>
        </w:tc>
        <w:tc>
          <w:tcPr>
            <w:tcW w:type="dxa" w:w="6293"/>
            <w:vAlign w:val="center"/>
            <w:tcMar>
              <w:top w:w="100" w:type="dxa"/>
              <w:start w:w="120" w:type="dxa"/>
              <w:bottom w:w="100" w:type="dxa"/>
              <w:end w:w="120" w:type="dxa"/>
            </w:tcMar>
            <w:shd w:fill="F3F5F7"/>
          </w:tcPr>
          <w:p>
            <w:pPr>
              <w:spacing w:after="0"/>
            </w:pPr>
            <w:r/>
            <w:r>
              <w:rPr>
                <w:rFonts w:ascii="Aptos" w:hAnsi="Aptos"/>
                <w:b w:val="0"/>
                <w:color w:val="202B33"/>
                <w:sz w:val="17"/>
              </w:rPr>
              <w:t>Lokasyonda korunması gereken taban stoğu bırakır</w:t>
            </w:r>
          </w:p>
        </w:tc>
      </w:tr>
      <w:tr>
        <w:trPr>
          <w:cantSplit/>
        </w:trPr>
        <w:tc>
          <w:tcPr>
            <w:tcW w:type="dxa" w:w="2948"/>
            <w:vAlign w:val="center"/>
            <w:tcMar>
              <w:top w:w="100" w:type="dxa"/>
              <w:start w:w="120" w:type="dxa"/>
              <w:bottom w:w="100" w:type="dxa"/>
              <w:end w:w="120" w:type="dxa"/>
            </w:tcMar>
          </w:tcPr>
          <w:p>
            <w:pPr>
              <w:spacing w:after="0"/>
            </w:pPr>
            <w:r/>
            <w:r>
              <w:rPr>
                <w:rFonts w:ascii="Aptos" w:hAnsi="Aptos"/>
                <w:b w:val="0"/>
                <w:color w:val="202B33"/>
                <w:sz w:val="17"/>
              </w:rPr>
              <w:t>transfer_allowed / lead time</w:t>
            </w:r>
          </w:p>
        </w:tc>
        <w:tc>
          <w:tcPr>
            <w:tcW w:type="dxa" w:w="6293"/>
            <w:vAlign w:val="center"/>
            <w:tcMar>
              <w:top w:w="100" w:type="dxa"/>
              <w:start w:w="120" w:type="dxa"/>
              <w:bottom w:w="100" w:type="dxa"/>
              <w:end w:w="120" w:type="dxa"/>
            </w:tcMar>
          </w:tcPr>
          <w:p>
            <w:pPr>
              <w:spacing w:after="0"/>
            </w:pPr>
            <w:r/>
            <w:r>
              <w:rPr>
                <w:rFonts w:ascii="Aptos" w:hAnsi="Aptos"/>
                <w:b w:val="0"/>
                <w:color w:val="202B33"/>
                <w:sz w:val="17"/>
              </w:rPr>
              <w:t>Sadece mümkün ve zamanında transferi önerir</w:t>
            </w:r>
          </w:p>
        </w:tc>
      </w:tr>
    </w:tbl>
    <w:p>
      <w:pPr>
        <w:spacing w:after="0"/>
      </w:pPr>
    </w:p>
    <w:p>
      <w:pPr>
        <w:pStyle w:val="Heading2"/>
      </w:pPr>
      <w:r>
        <w:t>4.13 Adım 12 — Açıklama, istisna ve onay</w:t>
      </w:r>
    </w:p>
    <w:p>
      <w:r>
        <w:t>Her sonuç satırı brüt satıştan önerilen üretime kadar bütün ara değerleri saklar. Geçmişsiz ürün, stockout, eşleşmeyen iade, eksik beden/lokasyon, geç arz veya yöntemler arası yüksek sapma istisna kodu üretir. Planner yalnızca istisnalara odaklanır; manuel değişiklik kullanıcı ve gerekçeyle denetim izine yazılır. Tek bir algoritmanın sessizce karar vermesi yerine karar zinciri görünür olur.</w:t>
      </w:r>
    </w:p>
    <w:p>
      <w:pPr>
        <w:pStyle w:val="Heading1"/>
      </w:pPr>
      <w:r>
        <w:t>5. Uçtan uca sayısal örnek</w:t>
      </w:r>
    </w:p>
    <w:p>
      <w:r>
        <w:t>Aşağıdaki örnek, yöntemin tek bir beden için forecast'ten üretim önerisine geçişini gösterir.</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Adım</w:t>
            </w:r>
          </w:p>
        </w:tc>
        <w:tc>
          <w:tcPr>
            <w:tcW w:type="dxa" w:w="2665"/>
            <w:vAlign w:val="center"/>
            <w:tcMar>
              <w:top w:w="100" w:type="dxa"/>
              <w:start w:w="120" w:type="dxa"/>
              <w:bottom w:w="100" w:type="dxa"/>
              <w:end w:w="120" w:type="dxa"/>
            </w:tcMar>
            <w:shd w:fill="17324D"/>
          </w:tcPr>
          <w:p>
            <w:pPr>
              <w:spacing w:after="0"/>
            </w:pPr>
            <w:r/>
            <w:r>
              <w:rPr>
                <w:rFonts w:ascii="Aptos" w:hAnsi="Aptos"/>
                <w:b/>
                <w:color w:val="FFFFFF"/>
                <w:sz w:val="16"/>
              </w:rPr>
              <w:t>Hesap</w:t>
            </w:r>
          </w:p>
        </w:tc>
        <w:tc>
          <w:tcPr>
            <w:tcW w:type="dxa" w:w="1474"/>
            <w:vAlign w:val="center"/>
            <w:tcMar>
              <w:top w:w="100" w:type="dxa"/>
              <w:start w:w="120" w:type="dxa"/>
              <w:bottom w:w="100" w:type="dxa"/>
              <w:end w:w="120" w:type="dxa"/>
            </w:tcMar>
            <w:shd w:fill="17324D"/>
          </w:tcPr>
          <w:p>
            <w:pPr>
              <w:spacing w:after="0"/>
            </w:pPr>
            <w:r/>
            <w:r>
              <w:rPr>
                <w:rFonts w:ascii="Aptos" w:hAnsi="Aptos"/>
                <w:b/>
                <w:color w:val="FFFFFF"/>
                <w:sz w:val="16"/>
              </w:rPr>
              <w:t>Sonuç</w:t>
            </w:r>
          </w:p>
        </w:tc>
        <w:tc>
          <w:tcPr>
            <w:tcW w:type="dxa" w:w="3402"/>
            <w:vAlign w:val="center"/>
            <w:tcMar>
              <w:top w:w="100" w:type="dxa"/>
              <w:start w:w="120" w:type="dxa"/>
              <w:bottom w:w="100" w:type="dxa"/>
              <w:end w:w="120" w:type="dxa"/>
            </w:tcMar>
            <w:shd w:fill="17324D"/>
          </w:tcPr>
          <w:p>
            <w:pPr>
              <w:spacing w:after="0"/>
            </w:pPr>
            <w:r/>
            <w:r>
              <w:rPr>
                <w:rFonts w:ascii="Aptos" w:hAnsi="Aptos"/>
                <w:b/>
                <w:color w:val="FFFFFF"/>
                <w:sz w:val="16"/>
              </w:rPr>
              <w:t>Neden</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6"/>
              </w:rPr>
              <w:t>1. Net satış</w:t>
            </w:r>
          </w:p>
        </w:tc>
        <w:tc>
          <w:tcPr>
            <w:tcW w:type="dxa" w:w="2665"/>
            <w:vAlign w:val="center"/>
            <w:tcMar>
              <w:top w:w="100" w:type="dxa"/>
              <w:start w:w="120" w:type="dxa"/>
              <w:bottom w:w="100" w:type="dxa"/>
              <w:end w:w="120" w:type="dxa"/>
            </w:tcMar>
          </w:tcPr>
          <w:p>
            <w:pPr>
              <w:spacing w:after="0"/>
            </w:pPr>
            <w:r/>
            <w:r>
              <w:rPr>
                <w:rFonts w:ascii="Aptos" w:hAnsi="Aptos"/>
                <w:b w:val="0"/>
                <w:color w:val="202B33"/>
                <w:sz w:val="16"/>
              </w:rPr>
              <w:t>420 brüt − 120 ilgili iade</w:t>
            </w:r>
          </w:p>
        </w:tc>
        <w:tc>
          <w:tcPr>
            <w:tcW w:type="dxa" w:w="1474"/>
            <w:vAlign w:val="center"/>
            <w:tcMar>
              <w:top w:w="100" w:type="dxa"/>
              <w:start w:w="120" w:type="dxa"/>
              <w:bottom w:w="100" w:type="dxa"/>
              <w:end w:w="120" w:type="dxa"/>
            </w:tcMar>
          </w:tcPr>
          <w:p>
            <w:pPr>
              <w:spacing w:after="0"/>
            </w:pPr>
            <w:r/>
            <w:r>
              <w:rPr>
                <w:rFonts w:ascii="Aptos" w:hAnsi="Aptos"/>
                <w:b w:val="0"/>
                <w:color w:val="202B33"/>
                <w:sz w:val="16"/>
              </w:rPr>
              <w:t>300</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İade etkisini satıştan ayırmak</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 Günlük hız</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6"/>
              </w:rPr>
              <w:t>300 / 90 referans günü</w:t>
            </w:r>
          </w:p>
        </w:tc>
        <w:tc>
          <w:tcPr>
            <w:tcW w:type="dxa" w:w="1474"/>
            <w:vAlign w:val="center"/>
            <w:tcMar>
              <w:top w:w="100" w:type="dxa"/>
              <w:start w:w="120" w:type="dxa"/>
              <w:bottom w:w="100" w:type="dxa"/>
              <w:end w:w="120" w:type="dxa"/>
            </w:tcMar>
            <w:shd w:fill="F3F5F7"/>
          </w:tcPr>
          <w:p>
            <w:pPr>
              <w:spacing w:after="0"/>
            </w:pPr>
            <w:r/>
            <w:r>
              <w:rPr>
                <w:rFonts w:ascii="Aptos" w:hAnsi="Aptos"/>
                <w:b w:val="0"/>
                <w:color w:val="202B33"/>
                <w:sz w:val="16"/>
              </w:rPr>
              <w:t>3,33</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Dönem uzunluğunu normalize etmek</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6"/>
              </w:rPr>
              <w:t>3. Plan talebi</w:t>
            </w:r>
          </w:p>
        </w:tc>
        <w:tc>
          <w:tcPr>
            <w:tcW w:type="dxa" w:w="2665"/>
            <w:vAlign w:val="center"/>
            <w:tcMar>
              <w:top w:w="100" w:type="dxa"/>
              <w:start w:w="120" w:type="dxa"/>
              <w:bottom w:w="100" w:type="dxa"/>
              <w:end w:w="120" w:type="dxa"/>
            </w:tcMar>
          </w:tcPr>
          <w:p>
            <w:pPr>
              <w:spacing w:after="0"/>
            </w:pPr>
            <w:r/>
            <w:r>
              <w:rPr>
                <w:rFonts w:ascii="Aptos" w:hAnsi="Aptos"/>
                <w:b w:val="0"/>
                <w:color w:val="202B33"/>
                <w:sz w:val="16"/>
              </w:rPr>
              <w:t>3,33 × 60 plan günü</w:t>
            </w:r>
          </w:p>
        </w:tc>
        <w:tc>
          <w:tcPr>
            <w:tcW w:type="dxa" w:w="1474"/>
            <w:vAlign w:val="center"/>
            <w:tcMar>
              <w:top w:w="100" w:type="dxa"/>
              <w:start w:w="120" w:type="dxa"/>
              <w:bottom w:w="100" w:type="dxa"/>
              <w:end w:w="120" w:type="dxa"/>
            </w:tcMar>
          </w:tcPr>
          <w:p>
            <w:pPr>
              <w:spacing w:after="0"/>
            </w:pPr>
            <w:r/>
            <w:r>
              <w:rPr>
                <w:rFonts w:ascii="Aptos" w:hAnsi="Aptos"/>
                <w:b w:val="0"/>
                <w:color w:val="202B33"/>
                <w:sz w:val="16"/>
              </w:rPr>
              <w:t>200</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60 günlük ufka taşımak</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4. Büyüme</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6"/>
              </w:rPr>
              <w:t>200 × 1,05</w:t>
            </w:r>
          </w:p>
        </w:tc>
        <w:tc>
          <w:tcPr>
            <w:tcW w:type="dxa" w:w="1474"/>
            <w:vAlign w:val="center"/>
            <w:tcMar>
              <w:top w:w="100" w:type="dxa"/>
              <w:start w:w="120" w:type="dxa"/>
              <w:bottom w:w="100" w:type="dxa"/>
              <w:end w:w="120" w:type="dxa"/>
            </w:tcMar>
            <w:shd w:fill="F3F5F7"/>
          </w:tcPr>
          <w:p>
            <w:pPr>
              <w:spacing w:after="0"/>
            </w:pPr>
            <w:r/>
            <w:r>
              <w:rPr>
                <w:rFonts w:ascii="Aptos" w:hAnsi="Aptos"/>
                <w:b w:val="0"/>
                <w:color w:val="202B33"/>
                <w:sz w:val="16"/>
              </w:rPr>
              <w:t>210</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Onaylı %5 beklentiyi açıkça uygulamak</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6"/>
              </w:rPr>
              <w:t>5. Beden payı</w:t>
            </w:r>
          </w:p>
        </w:tc>
        <w:tc>
          <w:tcPr>
            <w:tcW w:type="dxa" w:w="2665"/>
            <w:vAlign w:val="center"/>
            <w:tcMar>
              <w:top w:w="100" w:type="dxa"/>
              <w:start w:w="120" w:type="dxa"/>
              <w:bottom w:w="100" w:type="dxa"/>
              <w:end w:w="120" w:type="dxa"/>
            </w:tcMar>
          </w:tcPr>
          <w:p>
            <w:pPr>
              <w:spacing w:after="0"/>
            </w:pPr>
            <w:r/>
            <w:r>
              <w:rPr>
                <w:rFonts w:ascii="Aptos" w:hAnsi="Aptos"/>
                <w:b w:val="0"/>
                <w:color w:val="202B33"/>
                <w:sz w:val="16"/>
              </w:rPr>
              <w:t>210 × %32</w:t>
            </w:r>
          </w:p>
        </w:tc>
        <w:tc>
          <w:tcPr>
            <w:tcW w:type="dxa" w:w="1474"/>
            <w:vAlign w:val="center"/>
            <w:tcMar>
              <w:top w:w="100" w:type="dxa"/>
              <w:start w:w="120" w:type="dxa"/>
              <w:bottom w:w="100" w:type="dxa"/>
              <w:end w:w="120" w:type="dxa"/>
            </w:tcMar>
          </w:tcPr>
          <w:p>
            <w:pPr>
              <w:spacing w:after="0"/>
            </w:pPr>
            <w:r/>
            <w:r>
              <w:rPr>
                <w:rFonts w:ascii="Aptos" w:hAnsi="Aptos"/>
                <w:b w:val="0"/>
                <w:color w:val="202B33"/>
                <w:sz w:val="16"/>
              </w:rPr>
              <w:t>67,2</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38 beden payına dağıtmak</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6. Safety stock</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6"/>
              </w:rPr>
              <w:t>67,2 + 8</w:t>
            </w:r>
          </w:p>
        </w:tc>
        <w:tc>
          <w:tcPr>
            <w:tcW w:type="dxa" w:w="1474"/>
            <w:vAlign w:val="center"/>
            <w:tcMar>
              <w:top w:w="100" w:type="dxa"/>
              <w:start w:w="120" w:type="dxa"/>
              <w:bottom w:w="100" w:type="dxa"/>
              <w:end w:w="120" w:type="dxa"/>
            </w:tcMar>
            <w:shd w:fill="F3F5F7"/>
          </w:tcPr>
          <w:p>
            <w:pPr>
              <w:spacing w:after="0"/>
            </w:pPr>
            <w:r/>
            <w:r>
              <w:rPr>
                <w:rFonts w:ascii="Aptos" w:hAnsi="Aptos"/>
                <w:b w:val="0"/>
                <w:color w:val="202B33"/>
                <w:sz w:val="16"/>
              </w:rPr>
              <w:t>75,2</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Belirsizlik tamponu</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6"/>
              </w:rPr>
              <w:t>7. Offerable stok</w:t>
            </w:r>
          </w:p>
        </w:tc>
        <w:tc>
          <w:tcPr>
            <w:tcW w:type="dxa" w:w="2665"/>
            <w:vAlign w:val="center"/>
            <w:tcMar>
              <w:top w:w="100" w:type="dxa"/>
              <w:start w:w="120" w:type="dxa"/>
              <w:bottom w:w="100" w:type="dxa"/>
              <w:end w:w="120" w:type="dxa"/>
            </w:tcMar>
          </w:tcPr>
          <w:p>
            <w:pPr>
              <w:spacing w:after="0"/>
            </w:pPr>
            <w:r/>
            <w:r>
              <w:rPr>
                <w:rFonts w:ascii="Aptos" w:hAnsi="Aptos"/>
                <w:b w:val="0"/>
                <w:color w:val="202B33"/>
                <w:sz w:val="16"/>
              </w:rPr>
              <w:t>75,2 − 24</w:t>
            </w:r>
          </w:p>
        </w:tc>
        <w:tc>
          <w:tcPr>
            <w:tcW w:type="dxa" w:w="1474"/>
            <w:vAlign w:val="center"/>
            <w:tcMar>
              <w:top w:w="100" w:type="dxa"/>
              <w:start w:w="120" w:type="dxa"/>
              <w:bottom w:w="100" w:type="dxa"/>
              <w:end w:w="120" w:type="dxa"/>
            </w:tcMar>
          </w:tcPr>
          <w:p>
            <w:pPr>
              <w:spacing w:after="0"/>
            </w:pPr>
            <w:r/>
            <w:r>
              <w:rPr>
                <w:rFonts w:ascii="Aptos" w:hAnsi="Aptos"/>
                <w:b w:val="0"/>
                <w:color w:val="202B33"/>
                <w:sz w:val="16"/>
              </w:rPr>
              <w:t>51,2</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Gerçekten kullanılabilir stoğu düşmek</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8. Ufuk içi WO</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6"/>
              </w:rPr>
              <w:t>51,2 − 10</w:t>
            </w:r>
          </w:p>
        </w:tc>
        <w:tc>
          <w:tcPr>
            <w:tcW w:type="dxa" w:w="1474"/>
            <w:vAlign w:val="center"/>
            <w:tcMar>
              <w:top w:w="100" w:type="dxa"/>
              <w:start w:w="120" w:type="dxa"/>
              <w:bottom w:w="100" w:type="dxa"/>
              <w:end w:w="120" w:type="dxa"/>
            </w:tcMar>
            <w:shd w:fill="F3F5F7"/>
          </w:tcPr>
          <w:p>
            <w:pPr>
              <w:spacing w:after="0"/>
            </w:pPr>
            <w:r/>
            <w:r>
              <w:rPr>
                <w:rFonts w:ascii="Aptos" w:hAnsi="Aptos"/>
                <w:b w:val="0"/>
                <w:color w:val="202B33"/>
                <w:sz w:val="16"/>
              </w:rPr>
              <w:t>41,2</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Zamanında gelecek üretimi düşmek</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color w:val="202B33"/>
                <w:sz w:val="16"/>
              </w:rPr>
              <w:t>9. Ham ihtiyaç</w:t>
            </w:r>
          </w:p>
        </w:tc>
        <w:tc>
          <w:tcPr>
            <w:tcW w:type="dxa" w:w="2665"/>
            <w:vAlign w:val="center"/>
            <w:tcMar>
              <w:top w:w="100" w:type="dxa"/>
              <w:start w:w="120" w:type="dxa"/>
              <w:bottom w:w="100" w:type="dxa"/>
              <w:end w:w="120" w:type="dxa"/>
            </w:tcMar>
          </w:tcPr>
          <w:p>
            <w:pPr>
              <w:spacing w:after="0"/>
            </w:pPr>
            <w:r/>
            <w:r>
              <w:rPr>
                <w:rFonts w:ascii="Aptos" w:hAnsi="Aptos"/>
                <w:b w:val="0"/>
                <w:color w:val="202B33"/>
                <w:sz w:val="16"/>
              </w:rPr>
              <w:t>max(0, 41,2)</w:t>
            </w:r>
          </w:p>
        </w:tc>
        <w:tc>
          <w:tcPr>
            <w:tcW w:type="dxa" w:w="1474"/>
            <w:vAlign w:val="center"/>
            <w:tcMar>
              <w:top w:w="100" w:type="dxa"/>
              <w:start w:w="120" w:type="dxa"/>
              <w:bottom w:w="100" w:type="dxa"/>
              <w:end w:w="120" w:type="dxa"/>
            </w:tcMar>
          </w:tcPr>
          <w:p>
            <w:pPr>
              <w:spacing w:after="0"/>
            </w:pPr>
            <w:r/>
            <w:r>
              <w:rPr>
                <w:rFonts w:ascii="Aptos" w:hAnsi="Aptos"/>
                <w:b w:val="0"/>
                <w:color w:val="202B33"/>
                <w:sz w:val="16"/>
              </w:rPr>
              <w:t>41,2</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Negatif üretimi engellemek</w:t>
            </w:r>
          </w:p>
        </w:tc>
      </w:tr>
      <w:tr>
        <w:trPr>
          <w:cantSplit/>
        </w:trPr>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10. MOQ/kat</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6"/>
              </w:rPr>
              <w:t>MOQ 25, kat 5</w:t>
            </w:r>
          </w:p>
        </w:tc>
        <w:tc>
          <w:tcPr>
            <w:tcW w:type="dxa" w:w="1474"/>
            <w:vAlign w:val="center"/>
            <w:tcMar>
              <w:top w:w="100" w:type="dxa"/>
              <w:start w:w="120" w:type="dxa"/>
              <w:bottom w:w="100" w:type="dxa"/>
              <w:end w:w="120" w:type="dxa"/>
            </w:tcMar>
            <w:shd w:fill="F3F5F7"/>
          </w:tcPr>
          <w:p>
            <w:pPr>
              <w:spacing w:after="0"/>
            </w:pPr>
            <w:r/>
            <w:r>
              <w:rPr>
                <w:rFonts w:ascii="Aptos" w:hAnsi="Aptos"/>
                <w:b w:val="0"/>
                <w:color w:val="202B33"/>
                <w:sz w:val="16"/>
              </w:rPr>
              <w:t>45</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İlk uygulanabilir üretim miktarı</w:t>
            </w:r>
          </w:p>
        </w:tc>
      </w:tr>
    </w:tbl>
    <w:p>
      <w:pPr>
        <w:spacing w:after="0"/>
      </w:pP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Önemli ayrım</w:t>
            </w:r>
          </w:p>
          <w:p>
            <w:pPr>
              <w:spacing w:after="0"/>
            </w:pPr>
            <w:r>
              <w:t>67,2 adet beden tahmini ile 45 adet üretim önerisi çelişmez. Tahmin toplam ihtiyacı; üretim önerisi mevcut stok ve gelecek arz sonrası karşılanamayan, üretim kurallarına yuvarlanmış ilave miktarı ifade eder.</w:t>
            </w:r>
          </w:p>
        </w:tc>
      </w:tr>
    </w:tbl>
    <w:p>
      <w:pPr>
        <w:spacing w:after="0"/>
      </w:pPr>
    </w:p>
    <w:p>
      <w:pPr>
        <w:pStyle w:val="Heading1"/>
      </w:pPr>
      <w:r>
        <w:t>6. Düşük, baz ve yüksek senaryolar</w:t>
      </w:r>
    </w:p>
    <w:p>
      <w:r>
        <w:t>Tek yıllık veriyle bir sayı kesin gerçek gibi sunulmamalıdır. Aynı hesap zinciri farklı, açıkça onaylanmış varsayımlarla üç senaryo üretir. Senaryo farkı yalnızca büyüme katsayısı olmayabilir; safety stock, stockout düzeltmesi ve servis hedefi de senaryoya bağlı olabilir.</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587"/>
            <w:vAlign w:val="center"/>
            <w:tcMar>
              <w:top w:w="100" w:type="dxa"/>
              <w:start w:w="120" w:type="dxa"/>
              <w:bottom w:w="100" w:type="dxa"/>
              <w:end w:w="120" w:type="dxa"/>
            </w:tcMar>
            <w:shd w:fill="17324D"/>
          </w:tcPr>
          <w:p>
            <w:pPr>
              <w:spacing w:after="0"/>
            </w:pPr>
            <w:r/>
            <w:r>
              <w:rPr>
                <w:rFonts w:ascii="Aptos" w:hAnsi="Aptos"/>
                <w:b/>
                <w:color w:val="FFFFFF"/>
                <w:sz w:val="16"/>
              </w:rPr>
              <w:t>Senaryo</w:t>
            </w:r>
          </w:p>
        </w:tc>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Amaç</w:t>
            </w:r>
          </w:p>
        </w:tc>
        <w:tc>
          <w:tcPr>
            <w:tcW w:type="dxa" w:w="3005"/>
            <w:vAlign w:val="center"/>
            <w:tcMar>
              <w:top w:w="100" w:type="dxa"/>
              <w:start w:w="120" w:type="dxa"/>
              <w:bottom w:w="100" w:type="dxa"/>
              <w:end w:w="120" w:type="dxa"/>
            </w:tcMar>
            <w:shd w:fill="17324D"/>
          </w:tcPr>
          <w:p>
            <w:pPr>
              <w:spacing w:after="0"/>
            </w:pPr>
            <w:r/>
            <w:r>
              <w:rPr>
                <w:rFonts w:ascii="Aptos" w:hAnsi="Aptos"/>
                <w:b/>
                <w:color w:val="FFFFFF"/>
                <w:sz w:val="16"/>
              </w:rPr>
              <w:t>Tipik yaklaşım</w:t>
            </w:r>
          </w:p>
        </w:tc>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Yönetilen risk</w:t>
            </w:r>
          </w:p>
        </w:tc>
      </w:tr>
      <w:tr>
        <w:trPr>
          <w:cantSplit/>
        </w:trPr>
        <w:tc>
          <w:tcPr>
            <w:tcW w:type="dxa" w:w="1587"/>
            <w:vAlign w:val="center"/>
            <w:tcMar>
              <w:top w:w="100" w:type="dxa"/>
              <w:start w:w="120" w:type="dxa"/>
              <w:bottom w:w="100" w:type="dxa"/>
              <w:end w:w="120" w:type="dxa"/>
            </w:tcMar>
          </w:tcPr>
          <w:p>
            <w:pPr>
              <w:spacing w:after="0"/>
            </w:pPr>
            <w:r/>
            <w:r>
              <w:rPr>
                <w:rFonts w:ascii="Aptos" w:hAnsi="Aptos"/>
                <w:b w:val="0"/>
                <w:color w:val="202B33"/>
                <w:sz w:val="17"/>
              </w:rPr>
              <w:t>Düşük</w:t>
            </w:r>
          </w:p>
        </w:tc>
        <w:tc>
          <w:tcPr>
            <w:tcW w:type="dxa" w:w="2324"/>
            <w:vAlign w:val="center"/>
            <w:tcMar>
              <w:top w:w="100" w:type="dxa"/>
              <w:start w:w="120" w:type="dxa"/>
              <w:bottom w:w="100" w:type="dxa"/>
              <w:end w:w="120" w:type="dxa"/>
            </w:tcMar>
          </w:tcPr>
          <w:p>
            <w:pPr>
              <w:spacing w:after="0"/>
            </w:pPr>
            <w:r/>
            <w:r>
              <w:rPr>
                <w:rFonts w:ascii="Aptos" w:hAnsi="Aptos"/>
                <w:b w:val="0"/>
                <w:color w:val="202B33"/>
                <w:sz w:val="17"/>
              </w:rPr>
              <w:t>Elde kalmayı sınırlamak</w:t>
            </w:r>
          </w:p>
        </w:tc>
        <w:tc>
          <w:tcPr>
            <w:tcW w:type="dxa" w:w="3005"/>
            <w:vAlign w:val="center"/>
            <w:tcMar>
              <w:top w:w="100" w:type="dxa"/>
              <w:start w:w="120" w:type="dxa"/>
              <w:bottom w:w="100" w:type="dxa"/>
              <w:end w:w="120" w:type="dxa"/>
            </w:tcMar>
          </w:tcPr>
          <w:p>
            <w:pPr>
              <w:spacing w:after="0"/>
            </w:pPr>
            <w:r/>
            <w:r>
              <w:rPr>
                <w:rFonts w:ascii="Aptos" w:hAnsi="Aptos"/>
                <w:b w:val="0"/>
                <w:color w:val="202B33"/>
                <w:sz w:val="17"/>
              </w:rPr>
              <w:t>Daha temkinli büyüme ve safety stock</w:t>
            </w:r>
          </w:p>
        </w:tc>
        <w:tc>
          <w:tcPr>
            <w:tcW w:type="dxa" w:w="2324"/>
            <w:vAlign w:val="center"/>
            <w:tcMar>
              <w:top w:w="100" w:type="dxa"/>
              <w:start w:w="120" w:type="dxa"/>
              <w:bottom w:w="100" w:type="dxa"/>
              <w:end w:w="120" w:type="dxa"/>
            </w:tcMar>
          </w:tcPr>
          <w:p>
            <w:pPr>
              <w:spacing w:after="0"/>
            </w:pPr>
            <w:r/>
            <w:r>
              <w:rPr>
                <w:rFonts w:ascii="Aptos" w:hAnsi="Aptos"/>
                <w:b w:val="0"/>
                <w:color w:val="202B33"/>
                <w:sz w:val="17"/>
              </w:rPr>
              <w:t>Sezon sonu stok / indirim</w:t>
            </w:r>
          </w:p>
        </w:tc>
      </w:tr>
      <w:tr>
        <w:trPr>
          <w:cantSplit/>
        </w:trPr>
        <w:tc>
          <w:tcPr>
            <w:tcW w:type="dxa" w:w="1587"/>
            <w:vAlign w:val="center"/>
            <w:tcMar>
              <w:top w:w="100" w:type="dxa"/>
              <w:start w:w="120" w:type="dxa"/>
              <w:bottom w:w="100" w:type="dxa"/>
              <w:end w:w="120" w:type="dxa"/>
            </w:tcMar>
            <w:shd w:fill="F3F5F7"/>
          </w:tcPr>
          <w:p>
            <w:pPr>
              <w:spacing w:after="0"/>
            </w:pPr>
            <w:r/>
            <w:r>
              <w:rPr>
                <w:rFonts w:ascii="Aptos" w:hAnsi="Aptos"/>
                <w:b w:val="0"/>
                <w:color w:val="202B33"/>
                <w:sz w:val="17"/>
              </w:rPr>
              <w:t>Baz</w:t>
            </w:r>
          </w:p>
        </w:tc>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7"/>
              </w:rPr>
              <w:t>En olası operasyon planı</w:t>
            </w:r>
          </w:p>
        </w:tc>
        <w:tc>
          <w:tcPr>
            <w:tcW w:type="dxa" w:w="3005"/>
            <w:vAlign w:val="center"/>
            <w:tcMar>
              <w:top w:w="100" w:type="dxa"/>
              <w:start w:w="120" w:type="dxa"/>
              <w:bottom w:w="100" w:type="dxa"/>
              <w:end w:w="120" w:type="dxa"/>
            </w:tcMar>
            <w:shd w:fill="F3F5F7"/>
          </w:tcPr>
          <w:p>
            <w:pPr>
              <w:spacing w:after="0"/>
            </w:pPr>
            <w:r/>
            <w:r>
              <w:rPr>
                <w:rFonts w:ascii="Aptos" w:hAnsi="Aptos"/>
                <w:b w:val="0"/>
                <w:color w:val="202B33"/>
                <w:sz w:val="17"/>
              </w:rPr>
              <w:t>Eş dönem + onaylı ticari beklenti</w:t>
            </w:r>
          </w:p>
        </w:tc>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7"/>
              </w:rPr>
              <w:t>Dengeli stok ve servis</w:t>
            </w:r>
          </w:p>
        </w:tc>
      </w:tr>
      <w:tr>
        <w:trPr>
          <w:cantSplit/>
        </w:trPr>
        <w:tc>
          <w:tcPr>
            <w:tcW w:type="dxa" w:w="1587"/>
            <w:vAlign w:val="center"/>
            <w:tcMar>
              <w:top w:w="100" w:type="dxa"/>
              <w:start w:w="120" w:type="dxa"/>
              <w:bottom w:w="100" w:type="dxa"/>
              <w:end w:w="120" w:type="dxa"/>
            </w:tcMar>
          </w:tcPr>
          <w:p>
            <w:pPr>
              <w:spacing w:after="0"/>
            </w:pPr>
            <w:r/>
            <w:r>
              <w:rPr>
                <w:rFonts w:ascii="Aptos" w:hAnsi="Aptos"/>
                <w:b w:val="0"/>
                <w:color w:val="202B33"/>
                <w:sz w:val="17"/>
              </w:rPr>
              <w:t>Yüksek</w:t>
            </w:r>
          </w:p>
        </w:tc>
        <w:tc>
          <w:tcPr>
            <w:tcW w:type="dxa" w:w="2324"/>
            <w:vAlign w:val="center"/>
            <w:tcMar>
              <w:top w:w="100" w:type="dxa"/>
              <w:start w:w="120" w:type="dxa"/>
              <w:bottom w:w="100" w:type="dxa"/>
              <w:end w:w="120" w:type="dxa"/>
            </w:tcMar>
          </w:tcPr>
          <w:p>
            <w:pPr>
              <w:spacing w:after="0"/>
            </w:pPr>
            <w:r/>
            <w:r>
              <w:rPr>
                <w:rFonts w:ascii="Aptos" w:hAnsi="Aptos"/>
                <w:b w:val="0"/>
                <w:color w:val="202B33"/>
                <w:sz w:val="17"/>
              </w:rPr>
              <w:t>Satış fırsatını korumak</w:t>
            </w:r>
          </w:p>
        </w:tc>
        <w:tc>
          <w:tcPr>
            <w:tcW w:type="dxa" w:w="3005"/>
            <w:vAlign w:val="center"/>
            <w:tcMar>
              <w:top w:w="100" w:type="dxa"/>
              <w:start w:w="120" w:type="dxa"/>
              <w:bottom w:w="100" w:type="dxa"/>
              <w:end w:w="120" w:type="dxa"/>
            </w:tcMar>
          </w:tcPr>
          <w:p>
            <w:pPr>
              <w:spacing w:after="0"/>
            </w:pPr>
            <w:r/>
            <w:r>
              <w:rPr>
                <w:rFonts w:ascii="Aptos" w:hAnsi="Aptos"/>
                <w:b w:val="0"/>
                <w:color w:val="202B33"/>
                <w:sz w:val="17"/>
              </w:rPr>
              <w:t>Yüksek talep/safety stock varsayımı</w:t>
            </w:r>
          </w:p>
        </w:tc>
        <w:tc>
          <w:tcPr>
            <w:tcW w:type="dxa" w:w="2324"/>
            <w:vAlign w:val="center"/>
            <w:tcMar>
              <w:top w:w="100" w:type="dxa"/>
              <w:start w:w="120" w:type="dxa"/>
              <w:bottom w:w="100" w:type="dxa"/>
              <w:end w:w="120" w:type="dxa"/>
            </w:tcMar>
          </w:tcPr>
          <w:p>
            <w:pPr>
              <w:spacing w:after="0"/>
            </w:pPr>
            <w:r/>
            <w:r>
              <w:rPr>
                <w:rFonts w:ascii="Aptos" w:hAnsi="Aptos"/>
                <w:b w:val="0"/>
                <w:color w:val="202B33"/>
                <w:sz w:val="17"/>
              </w:rPr>
              <w:t>Yok satma / kaçan satış</w:t>
            </w:r>
          </w:p>
        </w:tc>
      </w:tr>
    </w:tbl>
    <w:p>
      <w:pPr>
        <w:spacing w:after="0"/>
      </w:pPr>
    </w:p>
    <w:p>
      <w:r>
        <w:t>Senaryo katsayıları keyfi seçilmemelidir. Geçmiş hata dağılımı, ürün yaşam döngüsü, marj, elde kalma maliyeti, üretim lead time'ı ve servis hedefiyle ilişkilendirilmelidir.</w:t>
      </w:r>
    </w:p>
    <w:p>
      <w:pPr>
        <w:pStyle w:val="Heading1"/>
      </w:pPr>
      <w:r>
        <w:t>7. Kontrol ve challenger mantığı</w:t>
      </w:r>
    </w:p>
    <w:p>
      <w:pPr>
        <w:pStyle w:val="Heading2"/>
      </w:pPr>
      <w:r>
        <w:t>7.1 Yöntemler aynı ekranda nasıl okunmalı?</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324"/>
            <w:vAlign w:val="center"/>
            <w:tcMar>
              <w:top w:w="100" w:type="dxa"/>
              <w:start w:w="120" w:type="dxa"/>
              <w:bottom w:w="100" w:type="dxa"/>
              <w:end w:w="120" w:type="dxa"/>
            </w:tcMar>
            <w:shd w:fill="17324D"/>
          </w:tcPr>
          <w:p>
            <w:pPr>
              <w:spacing w:after="0"/>
            </w:pPr>
            <w:r/>
            <w:r>
              <w:rPr>
                <w:rFonts w:ascii="Aptos" w:hAnsi="Aptos"/>
                <w:b/>
                <w:color w:val="FFFFFF"/>
                <w:sz w:val="16"/>
              </w:rPr>
              <w:t>Çıktı</w:t>
            </w:r>
          </w:p>
        </w:tc>
        <w:tc>
          <w:tcPr>
            <w:tcW w:type="dxa" w:w="1757"/>
            <w:vAlign w:val="center"/>
            <w:tcMar>
              <w:top w:w="100" w:type="dxa"/>
              <w:start w:w="120" w:type="dxa"/>
              <w:bottom w:w="100" w:type="dxa"/>
              <w:end w:w="120" w:type="dxa"/>
            </w:tcMar>
            <w:shd w:fill="17324D"/>
          </w:tcPr>
          <w:p>
            <w:pPr>
              <w:spacing w:after="0"/>
            </w:pPr>
            <w:r/>
            <w:r>
              <w:rPr>
                <w:rFonts w:ascii="Aptos" w:hAnsi="Aptos"/>
                <w:b/>
                <w:color w:val="FFFFFF"/>
                <w:sz w:val="16"/>
              </w:rPr>
              <w:t>Örnek</w:t>
            </w:r>
          </w:p>
        </w:tc>
        <w:tc>
          <w:tcPr>
            <w:tcW w:type="dxa" w:w="5159"/>
            <w:vAlign w:val="center"/>
            <w:tcMar>
              <w:top w:w="100" w:type="dxa"/>
              <w:start w:w="120" w:type="dxa"/>
              <w:bottom w:w="100" w:type="dxa"/>
              <w:end w:w="120" w:type="dxa"/>
            </w:tcMar>
            <w:shd w:fill="17324D"/>
          </w:tcPr>
          <w:p>
            <w:pPr>
              <w:spacing w:after="0"/>
            </w:pPr>
            <w:r/>
            <w:r>
              <w:rPr>
                <w:rFonts w:ascii="Aptos" w:hAnsi="Aptos"/>
                <w:b/>
                <w:color w:val="FFFFFF"/>
                <w:sz w:val="16"/>
              </w:rPr>
              <w:t>Yorum</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7"/>
              </w:rPr>
              <w:t>Eş dönem ana plan</w:t>
            </w:r>
          </w:p>
        </w:tc>
        <w:tc>
          <w:tcPr>
            <w:tcW w:type="dxa" w:w="1757"/>
            <w:vAlign w:val="center"/>
            <w:tcMar>
              <w:top w:w="100" w:type="dxa"/>
              <w:start w:w="120" w:type="dxa"/>
              <w:bottom w:w="100" w:type="dxa"/>
              <w:end w:w="120" w:type="dxa"/>
            </w:tcMar>
          </w:tcPr>
          <w:p>
            <w:pPr>
              <w:spacing w:after="0"/>
            </w:pPr>
            <w:r/>
            <w:r>
              <w:rPr>
                <w:rFonts w:ascii="Aptos" w:hAnsi="Aptos"/>
                <w:b w:val="0"/>
                <w:color w:val="202B33"/>
                <w:sz w:val="17"/>
              </w:rPr>
              <w:t>120</w:t>
            </w:r>
          </w:p>
        </w:tc>
        <w:tc>
          <w:tcPr>
            <w:tcW w:type="dxa" w:w="5159"/>
            <w:vAlign w:val="center"/>
            <w:tcMar>
              <w:top w:w="100" w:type="dxa"/>
              <w:start w:w="120" w:type="dxa"/>
              <w:bottom w:w="100" w:type="dxa"/>
              <w:end w:w="120" w:type="dxa"/>
            </w:tcMar>
          </w:tcPr>
          <w:p>
            <w:pPr>
              <w:spacing w:after="0"/>
            </w:pPr>
            <w:r/>
            <w:r>
              <w:rPr>
                <w:rFonts w:ascii="Aptos" w:hAnsi="Aptos"/>
                <w:b w:val="0"/>
                <w:color w:val="202B33"/>
                <w:sz w:val="17"/>
              </w:rPr>
              <w:t>Karşılaştırılabilir sezon ve iş kurallarıyla ana değer</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7"/>
              </w:rPr>
              <w:t>13 hafta Moving Average</w:t>
            </w:r>
          </w:p>
        </w:tc>
        <w:tc>
          <w:tcPr>
            <w:tcW w:type="dxa" w:w="1757"/>
            <w:vAlign w:val="center"/>
            <w:tcMar>
              <w:top w:w="100" w:type="dxa"/>
              <w:start w:w="120" w:type="dxa"/>
              <w:bottom w:w="100" w:type="dxa"/>
              <w:end w:w="120" w:type="dxa"/>
            </w:tcMar>
            <w:shd w:fill="F3F5F7"/>
          </w:tcPr>
          <w:p>
            <w:pPr>
              <w:spacing w:after="0"/>
            </w:pPr>
            <w:r/>
            <w:r>
              <w:rPr>
                <w:rFonts w:ascii="Aptos" w:hAnsi="Aptos"/>
                <w:b w:val="0"/>
                <w:color w:val="202B33"/>
                <w:sz w:val="17"/>
              </w:rPr>
              <w:t>145</w:t>
            </w:r>
          </w:p>
        </w:tc>
        <w:tc>
          <w:tcPr>
            <w:tcW w:type="dxa" w:w="5159"/>
            <w:vAlign w:val="center"/>
            <w:tcMar>
              <w:top w:w="100" w:type="dxa"/>
              <w:start w:w="120" w:type="dxa"/>
              <w:bottom w:w="100" w:type="dxa"/>
              <w:end w:w="120" w:type="dxa"/>
            </w:tcMar>
            <w:shd w:fill="F3F5F7"/>
          </w:tcPr>
          <w:p>
            <w:pPr>
              <w:spacing w:after="0"/>
            </w:pPr>
            <w:r/>
            <w:r>
              <w:rPr>
                <w:rFonts w:ascii="Aptos" w:hAnsi="Aptos"/>
                <w:b w:val="0"/>
                <w:color w:val="202B33"/>
                <w:sz w:val="17"/>
              </w:rPr>
              <w:t>Yakın dönemde daha yüksek hız sinyali</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7"/>
              </w:rPr>
              <w:t>Linear Regression</w:t>
            </w:r>
          </w:p>
        </w:tc>
        <w:tc>
          <w:tcPr>
            <w:tcW w:type="dxa" w:w="1757"/>
            <w:vAlign w:val="center"/>
            <w:tcMar>
              <w:top w:w="100" w:type="dxa"/>
              <w:start w:w="120" w:type="dxa"/>
              <w:bottom w:w="100" w:type="dxa"/>
              <w:end w:w="120" w:type="dxa"/>
            </w:tcMar>
          </w:tcPr>
          <w:p>
            <w:pPr>
              <w:spacing w:after="0"/>
            </w:pPr>
            <w:r/>
            <w:r>
              <w:rPr>
                <w:rFonts w:ascii="Aptos" w:hAnsi="Aptos"/>
                <w:b w:val="0"/>
                <w:color w:val="202B33"/>
                <w:sz w:val="17"/>
              </w:rPr>
              <w:t>138</w:t>
            </w:r>
          </w:p>
        </w:tc>
        <w:tc>
          <w:tcPr>
            <w:tcW w:type="dxa" w:w="5159"/>
            <w:vAlign w:val="center"/>
            <w:tcMar>
              <w:top w:w="100" w:type="dxa"/>
              <w:start w:w="120" w:type="dxa"/>
              <w:bottom w:w="100" w:type="dxa"/>
              <w:end w:w="120" w:type="dxa"/>
            </w:tcMar>
          </w:tcPr>
          <w:p>
            <w:pPr>
              <w:spacing w:after="0"/>
            </w:pPr>
            <w:r/>
            <w:r>
              <w:rPr>
                <w:rFonts w:ascii="Aptos" w:hAnsi="Aptos"/>
                <w:b w:val="0"/>
                <w:color w:val="202B33"/>
                <w:sz w:val="17"/>
              </w:rPr>
              <w:t>Pozitif trend challenger sinyali</w:t>
            </w:r>
          </w:p>
        </w:tc>
      </w:tr>
      <w:tr>
        <w:trPr>
          <w:cantSplit/>
        </w:trPr>
        <w:tc>
          <w:tcPr>
            <w:tcW w:type="dxa" w:w="2324"/>
            <w:vAlign w:val="center"/>
            <w:tcMar>
              <w:top w:w="100" w:type="dxa"/>
              <w:start w:w="120" w:type="dxa"/>
              <w:bottom w:w="100" w:type="dxa"/>
              <w:end w:w="120" w:type="dxa"/>
            </w:tcMar>
            <w:shd w:fill="F3F5F7"/>
          </w:tcPr>
          <w:p>
            <w:pPr>
              <w:spacing w:after="0"/>
            </w:pPr>
            <w:r/>
            <w:r>
              <w:rPr>
                <w:rFonts w:ascii="Aptos" w:hAnsi="Aptos"/>
                <w:b w:val="0"/>
                <w:color w:val="202B33"/>
                <w:sz w:val="17"/>
              </w:rPr>
              <w:t>NetSuite mevcut plan</w:t>
            </w:r>
          </w:p>
        </w:tc>
        <w:tc>
          <w:tcPr>
            <w:tcW w:type="dxa" w:w="1757"/>
            <w:vAlign w:val="center"/>
            <w:tcMar>
              <w:top w:w="100" w:type="dxa"/>
              <w:start w:w="120" w:type="dxa"/>
              <w:bottom w:w="100" w:type="dxa"/>
              <w:end w:w="120" w:type="dxa"/>
            </w:tcMar>
            <w:shd w:fill="F3F5F7"/>
          </w:tcPr>
          <w:p>
            <w:pPr>
              <w:spacing w:after="0"/>
            </w:pPr>
            <w:r/>
            <w:r>
              <w:rPr>
                <w:rFonts w:ascii="Aptos" w:hAnsi="Aptos"/>
                <w:b w:val="0"/>
                <w:color w:val="202B33"/>
                <w:sz w:val="17"/>
              </w:rPr>
              <w:t>130</w:t>
            </w:r>
          </w:p>
        </w:tc>
        <w:tc>
          <w:tcPr>
            <w:tcW w:type="dxa" w:w="5159"/>
            <w:vAlign w:val="center"/>
            <w:tcMar>
              <w:top w:w="100" w:type="dxa"/>
              <w:start w:w="120" w:type="dxa"/>
              <w:bottom w:w="100" w:type="dxa"/>
              <w:end w:w="120" w:type="dxa"/>
            </w:tcMar>
            <w:shd w:fill="F3F5F7"/>
          </w:tcPr>
          <w:p>
            <w:pPr>
              <w:spacing w:after="0"/>
            </w:pPr>
            <w:r/>
            <w:r>
              <w:rPr>
                <w:rFonts w:ascii="Aptos" w:hAnsi="Aptos"/>
                <w:b w:val="0"/>
                <w:color w:val="202B33"/>
                <w:sz w:val="17"/>
              </w:rPr>
              <w:t>Mevcut planla fark</w:t>
            </w:r>
          </w:p>
        </w:tc>
      </w:tr>
      <w:tr>
        <w:trPr>
          <w:cantSplit/>
        </w:trPr>
        <w:tc>
          <w:tcPr>
            <w:tcW w:type="dxa" w:w="2324"/>
            <w:vAlign w:val="center"/>
            <w:tcMar>
              <w:top w:w="100" w:type="dxa"/>
              <w:start w:w="120" w:type="dxa"/>
              <w:bottom w:w="100" w:type="dxa"/>
              <w:end w:w="120" w:type="dxa"/>
            </w:tcMar>
          </w:tcPr>
          <w:p>
            <w:pPr>
              <w:spacing w:after="0"/>
            </w:pPr>
            <w:r/>
            <w:r>
              <w:rPr>
                <w:rFonts w:ascii="Aptos" w:hAnsi="Aptos"/>
                <w:b w:val="0"/>
                <w:color w:val="202B33"/>
                <w:sz w:val="17"/>
              </w:rPr>
              <w:t>Karar</w:t>
            </w:r>
          </w:p>
        </w:tc>
        <w:tc>
          <w:tcPr>
            <w:tcW w:type="dxa" w:w="1757"/>
            <w:vAlign w:val="center"/>
            <w:tcMar>
              <w:top w:w="100" w:type="dxa"/>
              <w:start w:w="120" w:type="dxa"/>
              <w:bottom w:w="100" w:type="dxa"/>
              <w:end w:w="120" w:type="dxa"/>
            </w:tcMar>
          </w:tcPr>
          <w:p>
            <w:pPr>
              <w:spacing w:after="0"/>
            </w:pPr>
            <w:r/>
            <w:r>
              <w:rPr>
                <w:rFonts w:ascii="Aptos" w:hAnsi="Aptos"/>
                <w:b w:val="0"/>
                <w:color w:val="202B33"/>
                <w:sz w:val="17"/>
              </w:rPr>
              <w:t>Planner incelemesi</w:t>
            </w:r>
          </w:p>
        </w:tc>
        <w:tc>
          <w:tcPr>
            <w:tcW w:type="dxa" w:w="5159"/>
            <w:vAlign w:val="center"/>
            <w:tcMar>
              <w:top w:w="100" w:type="dxa"/>
              <w:start w:w="120" w:type="dxa"/>
              <w:bottom w:w="100" w:type="dxa"/>
              <w:end w:w="120" w:type="dxa"/>
            </w:tcMar>
          </w:tcPr>
          <w:p>
            <w:pPr>
              <w:spacing w:after="0"/>
            </w:pPr>
            <w:r/>
            <w:r>
              <w:rPr>
                <w:rFonts w:ascii="Aptos" w:hAnsi="Aptos"/>
                <w:b w:val="0"/>
                <w:color w:val="202B33"/>
                <w:sz w:val="17"/>
              </w:rPr>
              <w:t>145 otomatik seçilmez; stockout, kampanya ve dönem uyumu araştırılır</w:t>
            </w:r>
          </w:p>
        </w:tc>
      </w:tr>
    </w:tbl>
    <w:p>
      <w:pPr>
        <w:spacing w:after="0"/>
      </w:pPr>
    </w:p>
    <w:p>
      <w:pPr>
        <w:pStyle w:val="Heading2"/>
      </w:pPr>
      <w:r>
        <w:t>7.2 Rolling backtest</w:t>
      </w:r>
    </w:p>
    <w:p>
      <w:r>
        <w:t>Hangi metodun daha doğru olduğu yöntem adına göre değil, geçmişte görmediği dönemlerdeki performansına göre belirlenir:</w:t>
      </w:r>
    </w:p>
    <w:p>
      <w:pPr>
        <w:pStyle w:val="ListNumber"/>
      </w:pPr>
      <w:r>
        <w:t>İlk 26 haftayı kullanarak sonraki 4 haftayı tahmin et.</w:t>
      </w:r>
    </w:p>
    <w:p>
      <w:pPr>
        <w:pStyle w:val="ListNumber"/>
      </w:pPr>
      <w:r>
        <w:t>Pencereyi 4 hafta ileri taşı ve tahmini tekrarla.</w:t>
      </w:r>
    </w:p>
    <w:p>
      <w:pPr>
        <w:pStyle w:val="ListNumber"/>
      </w:pPr>
      <w:r>
        <w:t>Aynı ürün grubu için eş dönem, 8/13/26 hafta ortalama ve regression sonuçlarını karşılaştır.</w:t>
      </w:r>
    </w:p>
    <w:p>
      <w:pPr>
        <w:pStyle w:val="ListNumber"/>
      </w:pPr>
      <w:r>
        <w:t>Stockout'lu ve kampanyalı pencereleri ayrıca raporla.</w:t>
      </w:r>
    </w:p>
    <w:p>
      <w:pPr>
        <w:pStyle w:val="ListNumber"/>
      </w:pPr>
      <w:r>
        <w:t>WAPE, MAE ve bias ile doğruluk kadar sistematik yönü de ölç.</w:t>
      </w:r>
    </w:p>
    <w:p>
      <w:pPr>
        <w:pStyle w:val="ListNumber"/>
      </w:pPr>
      <w:r>
        <w:t>Basit baseline'ı istikrarlı biçimde geçmeyen karmaşık yöntemi ana plan yapma.</w:t>
      </w:r>
    </w:p>
    <w:p>
      <w:pPr>
        <w:pStyle w:val="Heading2"/>
      </w:pPr>
      <w:r>
        <w:t>7.3 Ölçümler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268"/>
            <w:vAlign w:val="center"/>
            <w:tcMar>
              <w:top w:w="100" w:type="dxa"/>
              <w:start w:w="120" w:type="dxa"/>
              <w:bottom w:w="100" w:type="dxa"/>
              <w:end w:w="120" w:type="dxa"/>
            </w:tcMar>
            <w:shd w:fill="17324D"/>
          </w:tcPr>
          <w:p>
            <w:pPr>
              <w:spacing w:after="0"/>
            </w:pPr>
            <w:r/>
            <w:r>
              <w:rPr>
                <w:rFonts w:ascii="Aptos" w:hAnsi="Aptos"/>
                <w:b/>
                <w:color w:val="FFFFFF"/>
                <w:sz w:val="16"/>
              </w:rPr>
              <w:t>Metrik</w:t>
            </w:r>
          </w:p>
        </w:tc>
        <w:tc>
          <w:tcPr>
            <w:tcW w:type="dxa" w:w="3402"/>
            <w:vAlign w:val="center"/>
            <w:tcMar>
              <w:top w:w="100" w:type="dxa"/>
              <w:start w:w="120" w:type="dxa"/>
              <w:bottom w:w="100" w:type="dxa"/>
              <w:end w:w="120" w:type="dxa"/>
            </w:tcMar>
            <w:shd w:fill="17324D"/>
          </w:tcPr>
          <w:p>
            <w:pPr>
              <w:spacing w:after="0"/>
            </w:pPr>
            <w:r/>
            <w:r>
              <w:rPr>
                <w:rFonts w:ascii="Aptos" w:hAnsi="Aptos"/>
                <w:b/>
                <w:color w:val="FFFFFF"/>
                <w:sz w:val="16"/>
              </w:rPr>
              <w:t>Ne gösterir?</w:t>
            </w:r>
          </w:p>
        </w:tc>
        <w:tc>
          <w:tcPr>
            <w:tcW w:type="dxa" w:w="3572"/>
            <w:vAlign w:val="center"/>
            <w:tcMar>
              <w:top w:w="100" w:type="dxa"/>
              <w:start w:w="120" w:type="dxa"/>
              <w:bottom w:w="100" w:type="dxa"/>
              <w:end w:w="120" w:type="dxa"/>
            </w:tcMar>
            <w:shd w:fill="17324D"/>
          </w:tcPr>
          <w:p>
            <w:pPr>
              <w:spacing w:after="0"/>
            </w:pPr>
            <w:r/>
            <w:r>
              <w:rPr>
                <w:rFonts w:ascii="Aptos" w:hAnsi="Aptos"/>
                <w:b/>
                <w:color w:val="FFFFFF"/>
                <w:sz w:val="16"/>
              </w:rPr>
              <w:t>Neden gerekli?</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WAPE</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Hacme göre ağırlıklı mutlak hata</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Toplam portföy doğruluğu</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MAE</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Satır/dönem başına ortalama adet hatası</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6"/>
              </w:rPr>
              <w:t>Operasyonel sapmanın büyüklüğü</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Bias</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Sistematik fazla veya eksik tahmin</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Fazla stok veya yok satma yönü</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Stockout-adjusted error</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Stoksuz dönem ayrıştırıldığında hata</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6"/>
              </w:rPr>
              <w:t>Satışın sansürlendiği seriyi adil ölçmek</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Service impact</w:t>
            </w:r>
          </w:p>
        </w:tc>
        <w:tc>
          <w:tcPr>
            <w:tcW w:type="dxa" w:w="3402"/>
            <w:vAlign w:val="center"/>
            <w:tcMar>
              <w:top w:w="100" w:type="dxa"/>
              <w:start w:w="120" w:type="dxa"/>
              <w:bottom w:w="100" w:type="dxa"/>
              <w:end w:w="120" w:type="dxa"/>
            </w:tcMar>
          </w:tcPr>
          <w:p>
            <w:pPr>
              <w:spacing w:after="0"/>
            </w:pPr>
            <w:r/>
            <w:r>
              <w:rPr>
                <w:rFonts w:ascii="Aptos" w:hAnsi="Aptos"/>
                <w:b w:val="0"/>
                <w:color w:val="202B33"/>
                <w:sz w:val="16"/>
              </w:rPr>
              <w:t>Eksik tahminin sipariş karşılamaya etkisi</w:t>
            </w:r>
          </w:p>
        </w:tc>
        <w:tc>
          <w:tcPr>
            <w:tcW w:type="dxa" w:w="3572"/>
            <w:vAlign w:val="center"/>
            <w:tcMar>
              <w:top w:w="100" w:type="dxa"/>
              <w:start w:w="120" w:type="dxa"/>
              <w:bottom w:w="100" w:type="dxa"/>
              <w:end w:w="120" w:type="dxa"/>
            </w:tcMar>
          </w:tcPr>
          <w:p>
            <w:pPr>
              <w:spacing w:after="0"/>
            </w:pPr>
            <w:r/>
            <w:r>
              <w:rPr>
                <w:rFonts w:ascii="Aptos" w:hAnsi="Aptos"/>
                <w:b w:val="0"/>
                <w:color w:val="202B33"/>
                <w:sz w:val="16"/>
              </w:rPr>
              <w:t>Her adet hatanın ticari etkisi aynı değildir</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Override value-add</w:t>
            </w:r>
          </w:p>
        </w:tc>
        <w:tc>
          <w:tcPr>
            <w:tcW w:type="dxa" w:w="3402"/>
            <w:vAlign w:val="center"/>
            <w:tcMar>
              <w:top w:w="100" w:type="dxa"/>
              <w:start w:w="120" w:type="dxa"/>
              <w:bottom w:w="100" w:type="dxa"/>
              <w:end w:w="120" w:type="dxa"/>
            </w:tcMar>
            <w:shd w:fill="F3F5F7"/>
          </w:tcPr>
          <w:p>
            <w:pPr>
              <w:spacing w:after="0"/>
            </w:pPr>
            <w:r/>
            <w:r>
              <w:rPr>
                <w:rFonts w:ascii="Aptos" w:hAnsi="Aptos"/>
                <w:b w:val="0"/>
                <w:color w:val="202B33"/>
                <w:sz w:val="16"/>
              </w:rPr>
              <w:t>Planner değişikliğinin hatayı azaltması</w:t>
            </w:r>
          </w:p>
        </w:tc>
        <w:tc>
          <w:tcPr>
            <w:tcW w:type="dxa" w:w="3572"/>
            <w:vAlign w:val="center"/>
            <w:tcMar>
              <w:top w:w="100" w:type="dxa"/>
              <w:start w:w="120" w:type="dxa"/>
              <w:bottom w:w="100" w:type="dxa"/>
              <w:end w:w="120" w:type="dxa"/>
            </w:tcMar>
            <w:shd w:fill="F3F5F7"/>
          </w:tcPr>
          <w:p>
            <w:pPr>
              <w:spacing w:after="0"/>
            </w:pPr>
            <w:r/>
            <w:r>
              <w:rPr>
                <w:rFonts w:ascii="Aptos" w:hAnsi="Aptos"/>
                <w:b w:val="0"/>
                <w:color w:val="202B33"/>
                <w:sz w:val="16"/>
              </w:rPr>
              <w:t>İnsan müdahalesinin katkısını öğrenmek</w:t>
            </w:r>
          </w:p>
        </w:tc>
      </w:tr>
    </w:tbl>
    <w:p>
      <w:pPr>
        <w:spacing w:after="0"/>
      </w:pPr>
    </w:p>
    <w:p>
      <w:pPr>
        <w:pStyle w:val="Heading1"/>
      </w:pPr>
      <w:r>
        <w:t>8. Çözüm kapsamı</w:t>
      </w:r>
    </w:p>
    <w:p>
      <w:r>
        <w:t>Çözümün yöntemsel ve fonksiyonel kapsamı aşağıdadır: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814"/>
            <w:vAlign w:val="center"/>
            <w:tcMar>
              <w:top w:w="100" w:type="dxa"/>
              <w:start w:w="120" w:type="dxa"/>
              <w:bottom w:w="100" w:type="dxa"/>
              <w:end w:w="120" w:type="dxa"/>
            </w:tcMar>
            <w:shd w:fill="17324D"/>
          </w:tcPr>
          <w:p>
            <w:pPr>
              <w:spacing w:after="0"/>
            </w:pPr>
            <w:r/>
            <w:r>
              <w:rPr>
                <w:rFonts w:ascii="Aptos" w:hAnsi="Aptos"/>
                <w:b/>
                <w:color w:val="FFFFFF"/>
                <w:sz w:val="16"/>
              </w:rPr>
              <w:t>Kapsam</w:t>
            </w:r>
          </w:p>
        </w:tc>
        <w:tc>
          <w:tcPr>
            <w:tcW w:type="dxa" w:w="4649"/>
            <w:vAlign w:val="center"/>
            <w:tcMar>
              <w:top w:w="100" w:type="dxa"/>
              <w:start w:w="120" w:type="dxa"/>
              <w:bottom w:w="100" w:type="dxa"/>
              <w:end w:w="120" w:type="dxa"/>
            </w:tcMar>
            <w:shd w:fill="17324D"/>
          </w:tcPr>
          <w:p>
            <w:pPr>
              <w:spacing w:after="0"/>
            </w:pPr>
            <w:r/>
            <w:r>
              <w:rPr>
                <w:rFonts w:ascii="Aptos" w:hAnsi="Aptos"/>
                <w:b/>
                <w:color w:val="FFFFFF"/>
                <w:sz w:val="16"/>
              </w:rPr>
              <w:t>İçerik</w:t>
            </w:r>
          </w:p>
        </w:tc>
        <w:tc>
          <w:tcPr>
            <w:tcW w:type="dxa" w:w="2778"/>
            <w:vAlign w:val="center"/>
            <w:tcMar>
              <w:top w:w="100" w:type="dxa"/>
              <w:start w:w="120" w:type="dxa"/>
              <w:bottom w:w="100" w:type="dxa"/>
              <w:end w:w="120" w:type="dxa"/>
            </w:tcMar>
            <w:shd w:fill="17324D"/>
          </w:tcPr>
          <w:p>
            <w:pPr>
              <w:spacing w:after="0"/>
            </w:pPr>
            <w:r/>
            <w:r>
              <w:rPr>
                <w:rFonts w:ascii="Aptos" w:hAnsi="Aptos"/>
                <w:b/>
                <w:color w:val="FFFFFF"/>
                <w:sz w:val="16"/>
              </w:rPr>
              <w:t>Çıktı</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Ürün geçmişi</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Eski-yeni SKU, model, renk, beden, ürün ailesi ve yaşam döngüsü eşleme</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Kesintisiz kanonik geçmiş</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Satış ve iade</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Brüt satış tekilleştirme, kaynak satışa bağlı iade, reel iade oranı</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Düzeltilmiş net talep</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Veri kalitesi</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Stockout, kampanya, eksik eşleme, negatif stok, tarihi olmayan arz</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İstisna/karantina listesi</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Talep hesabı</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Eş dönem hız, dönem normalizasyonu, büyüme/daralma</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Ana baseline</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Alternatif yöntem</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8/13/26 hafta MA, regression ve ileri aşamada seasonal/ML</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Kontrol ve challenger</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Beden planı</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Model-renk toplamından yumuşatılmış beden eğrisi</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SKU/beden forecast</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Stok</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Kanal erişimli offerable stok</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Gerçekten kullanılabilir arz</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Gelecek arz</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WO, PO/inbound ve transfer tekilleştirme; tarih kontrolü</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Ufuk içi arz</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Üretim</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Safety stock, ham ihtiyaç, MOQ, kat ve lead time</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Uygulanabilir üretim önerisi</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Alokasyon</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Kanal-lokasyon erişimi, dedicated stok, öncelik, min stok</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Lokasyon ve transfer önerisi</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Senaryo</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Düşük/baz/yüksek ve varsayım sürümü</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Risk karşılaştırması</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Yönetişim</w:t>
            </w:r>
          </w:p>
        </w:tc>
        <w:tc>
          <w:tcPr>
            <w:tcW w:type="dxa" w:w="4649"/>
            <w:vAlign w:val="center"/>
            <w:tcMar>
              <w:top w:w="100" w:type="dxa"/>
              <w:start w:w="120" w:type="dxa"/>
              <w:bottom w:w="100" w:type="dxa"/>
              <w:end w:w="120" w:type="dxa"/>
            </w:tcMar>
            <w:shd w:fill="F3F5F7"/>
          </w:tcPr>
          <w:p>
            <w:pPr>
              <w:spacing w:after="0"/>
            </w:pPr>
            <w:r/>
            <w:r>
              <w:rPr>
                <w:rFonts w:ascii="Aptos" w:hAnsi="Aptos"/>
                <w:b w:val="0"/>
                <w:color w:val="202B33"/>
                <w:sz w:val="15"/>
              </w:rPr>
              <w:t>Açıklama izi, istisna, override gerekçesi, onay</w:t>
            </w:r>
          </w:p>
        </w:tc>
        <w:tc>
          <w:tcPr>
            <w:tcW w:type="dxa" w:w="2778"/>
            <w:vAlign w:val="center"/>
            <w:tcMar>
              <w:top w:w="100" w:type="dxa"/>
              <w:start w:w="120" w:type="dxa"/>
              <w:bottom w:w="100" w:type="dxa"/>
              <w:end w:w="120" w:type="dxa"/>
            </w:tcMar>
            <w:shd w:fill="F3F5F7"/>
          </w:tcPr>
          <w:p>
            <w:pPr>
              <w:spacing w:after="0"/>
            </w:pPr>
            <w:r/>
            <w:r>
              <w:rPr>
                <w:rFonts w:ascii="Aptos" w:hAnsi="Aptos"/>
                <w:b w:val="0"/>
                <w:color w:val="202B33"/>
                <w:sz w:val="15"/>
              </w:rPr>
              <w:t>Denetlenebilir karar</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Çıktı</w:t>
            </w:r>
          </w:p>
        </w:tc>
        <w:tc>
          <w:tcPr>
            <w:tcW w:type="dxa" w:w="4649"/>
            <w:vAlign w:val="center"/>
            <w:tcMar>
              <w:top w:w="100" w:type="dxa"/>
              <w:start w:w="120" w:type="dxa"/>
              <w:bottom w:w="100" w:type="dxa"/>
              <w:end w:w="120" w:type="dxa"/>
            </w:tcMar>
          </w:tcPr>
          <w:p>
            <w:pPr>
              <w:spacing w:after="0"/>
            </w:pPr>
            <w:r/>
            <w:r>
              <w:rPr>
                <w:rFonts w:ascii="Aptos" w:hAnsi="Aptos"/>
                <w:b w:val="0"/>
                <w:color w:val="202B33"/>
                <w:sz w:val="15"/>
              </w:rPr>
              <w:t>Haftalık plan, CSV ve onaylı sonuç aktarımı</w:t>
            </w:r>
          </w:p>
        </w:tc>
        <w:tc>
          <w:tcPr>
            <w:tcW w:type="dxa" w:w="2778"/>
            <w:vAlign w:val="center"/>
            <w:tcMar>
              <w:top w:w="100" w:type="dxa"/>
              <w:start w:w="120" w:type="dxa"/>
              <w:bottom w:w="100" w:type="dxa"/>
              <w:end w:w="120" w:type="dxa"/>
            </w:tcMar>
          </w:tcPr>
          <w:p>
            <w:pPr>
              <w:spacing w:after="0"/>
            </w:pPr>
            <w:r/>
            <w:r>
              <w:rPr>
                <w:rFonts w:ascii="Aptos" w:hAnsi="Aptos"/>
                <w:b w:val="0"/>
                <w:color w:val="202B33"/>
                <w:sz w:val="15"/>
              </w:rPr>
              <w:t>Operasyonel kullanım</w:t>
            </w:r>
          </w:p>
        </w:tc>
      </w:tr>
    </w:tbl>
    <w:p>
      <w:pPr>
        <w:spacing w:after="0"/>
      </w:pPr>
    </w:p>
    <w:p>
      <w:r>
        <w:t>Tek bir plan koşusu, belirsizliği tek sayıya indirger. Oysa bir yıllık veri, sezon etkisi ve ürün kırılımındaki seyrekliğin bulunduğu ortamda yönetim kararının farklı fakat açık varsayımlar altında sınanması gerekir. Çoklu simülasyon; aynı ürün ve aynı veri anı için birden fazla plan reçetesinin çalıştırılması, sonuçların ortak ölçülerle yan yana karşılaştırılması ve bir senaryonun kontrollü biçimde baz plan seçilmesidir.</w:t>
      </w:r>
    </w:p>
    <w:tbl>
      <w:tblPr>
        <w:tblW w:type="auto" w:w="0"/>
        <w:tblLayout w:type="fixed"/>
        <w:tblLook w:firstColumn="1" w:firstRow="1" w:lastColumn="0" w:lastRow="0" w:noHBand="0" w:noVBand="1" w:val="04A0"/>
      </w:tblPr>
      <w:tblGrid>
        <w:gridCol w:w="4957"/>
        <w:gridCol w:w="4957"/>
      </w:tblGrid>
      <w:tr>
        <w:tc>
          <w:tcPr>
            <w:tcW w:type="dxa" w:w="142"/>
            <w:shd w:fill="0B7A75"/>
            <w:tcMar>
              <w:top w:w="30" w:type="dxa"/>
              <w:start w:w="20" w:type="dxa"/>
              <w:bottom w:w="30" w:type="dxa"/>
              <w:end w:w="20" w:type="dxa"/>
            </w:tcMar>
          </w:tcPr>
          <w:p/>
        </w:tc>
        <w:tc>
          <w:tcPr>
            <w:tcW w:type="dxa" w:w="9071"/>
            <w:shd w:fill="E5F4F2"/>
            <w:tcMar>
              <w:top w:w="150" w:type="dxa"/>
              <w:start w:w="220" w:type="dxa"/>
              <w:bottom w:w="150" w:type="dxa"/>
              <w:end w:w="220" w:type="dxa"/>
            </w:tcMar>
          </w:tcPr>
          <w:p>
            <w:pPr>
              <w:spacing w:after="80"/>
            </w:pPr>
            <w:r/>
            <w:r>
              <w:rPr>
                <w:rFonts w:ascii="Aptos Display" w:hAnsi="Aptos Display"/>
                <w:b/>
                <w:color w:val="0B7A75"/>
                <w:sz w:val="22"/>
              </w:rPr>
              <w:t>Temel ilke</w:t>
            </w:r>
          </w:p>
          <w:p>
            <w:pPr>
              <w:spacing w:after="0"/>
            </w:pPr>
            <w:r>
              <w:t>Simülasyonlar farklı veri kopyaları değil, aynı dondurulmuş veri üzerinde farklı açık varsayımlardır. Böylece sonuç farkının veriden mi yoksa karardan mı kaynaklandığı görülebilir.</w:t>
            </w:r>
          </w:p>
        </w:tc>
      </w:tr>
    </w:tbl>
    <w:p>
      <w:pPr>
        <w:spacing w:after="0"/>
      </w:pPr>
    </w:p>
    <w:p>
      <w:pPr>
        <w:pStyle w:val="Heading1"/>
      </w:pPr>
      <w:r>
        <w:t>9. Çoklu simülasyon metodolojisi</w:t>
      </w:r>
    </w:p>
    <w:p>
      <w:pPr>
        <w:pStyle w:val="Heading2"/>
      </w:pPr>
      <w:r>
        <w:t>9.1 Neden birden fazla simülasyon gerekli?</w:t>
      </w:r>
    </w:p>
    <w:p>
      <w:pPr>
        <w:pStyle w:val="ListBullet"/>
      </w:pPr>
      <w:r>
        <w:t>Tek yıllık veri geleceği tek bir kesin değerle temsil etmek için yeterli değildir; karar aralığı görülmelidir.</w:t>
      </w:r>
    </w:p>
    <w:p>
      <w:pPr>
        <w:pStyle w:val="ListBullet"/>
      </w:pPr>
      <w:r>
        <w:t>Büyüme beklentisi, safety stock, stockout yaklaşımı ve referans pencere seçimi üretim önerisini farklı ölçülerde etkiler.</w:t>
      </w:r>
    </w:p>
    <w:p>
      <w:pPr>
        <w:pStyle w:val="ListBullet"/>
      </w:pPr>
      <w:r>
        <w:t>MOQ ve üretim katı nedeniyle küçük tahmin farkları üretimde basamaklı ve daha büyük farklar yaratabilir.</w:t>
      </w:r>
    </w:p>
    <w:p>
      <w:pPr>
        <w:pStyle w:val="ListBullet"/>
      </w:pPr>
      <w:r>
        <w:t>Talep artışına hazırlıklı olmak ile sezon sonunda stok taşımamak arasında açık bir risk tercihi vardır.</w:t>
      </w:r>
    </w:p>
    <w:p>
      <w:pPr>
        <w:pStyle w:val="ListBullet"/>
      </w:pPr>
      <w:r>
        <w:t>Planner ve yönetim, varsayımı değiştirdiğinde hangi ürün ve bedenlerin kritik hale geldiğini görebilmelidir.</w:t>
      </w:r>
    </w:p>
    <w:p>
      <w:pPr>
        <w:pStyle w:val="ListBullet"/>
      </w:pPr>
      <w:r>
        <w:t>Ana planın yalnızca sonucunu değil, alternatiflere göre neden seçildiğini kayıt altına almak gerekir.</w:t>
      </w:r>
    </w:p>
    <w:p>
      <w:pPr>
        <w:pStyle w:val="Heading2"/>
      </w:pPr>
      <w:r>
        <w:t>9.2 Bütün simülasyonlarda sabit tutulacak unsurlar</w:t>
      </w:r>
    </w:p>
    <w:p>
      <w:r>
        <w:t>Adil karşılaştırma için aşağıdaki unsurlar aynı simülasyon grubu içinde sabit tutulmalıdır. Bunlardan biri değişirse karşılaştırma “varsayım etkisi” olmaktan çıkar ve farklı veri koşularının karşılaştırmasına dönüşür.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268"/>
            <w:vAlign w:val="center"/>
            <w:tcMar>
              <w:top w:w="100" w:type="dxa"/>
              <w:start w:w="120" w:type="dxa"/>
              <w:bottom w:w="100" w:type="dxa"/>
              <w:end w:w="120" w:type="dxa"/>
            </w:tcMar>
            <w:shd w:fill="17324D"/>
          </w:tcPr>
          <w:p>
            <w:pPr>
              <w:spacing w:after="0"/>
            </w:pPr>
            <w:r/>
            <w:r>
              <w:rPr>
                <w:rFonts w:ascii="Aptos" w:hAnsi="Aptos"/>
                <w:b/>
                <w:color w:val="FFFFFF"/>
                <w:sz w:val="16"/>
              </w:rPr>
              <w:t>Sabit unsur</w:t>
            </w:r>
          </w:p>
        </w:tc>
        <w:tc>
          <w:tcPr>
            <w:tcW w:type="dxa" w:w="4535"/>
            <w:vAlign w:val="center"/>
            <w:tcMar>
              <w:top w:w="100" w:type="dxa"/>
              <w:start w:w="120" w:type="dxa"/>
              <w:bottom w:w="100" w:type="dxa"/>
              <w:end w:w="120" w:type="dxa"/>
            </w:tcMar>
            <w:shd w:fill="17324D"/>
          </w:tcPr>
          <w:p>
            <w:pPr>
              <w:spacing w:after="0"/>
            </w:pPr>
            <w:r/>
            <w:r>
              <w:rPr>
                <w:rFonts w:ascii="Aptos" w:hAnsi="Aptos"/>
                <w:b/>
                <w:color w:val="FFFFFF"/>
                <w:sz w:val="16"/>
              </w:rPr>
              <w:t>Neden sabit?</w:t>
            </w:r>
          </w:p>
        </w:tc>
        <w:tc>
          <w:tcPr>
            <w:tcW w:type="dxa" w:w="2438"/>
            <w:vAlign w:val="center"/>
            <w:tcMar>
              <w:top w:w="100" w:type="dxa"/>
              <w:start w:w="120" w:type="dxa"/>
              <w:bottom w:w="100" w:type="dxa"/>
              <w:end w:w="120" w:type="dxa"/>
            </w:tcMar>
            <w:shd w:fill="17324D"/>
          </w:tcPr>
          <w:p>
            <w:pPr>
              <w:spacing w:after="0"/>
            </w:pPr>
            <w:r/>
            <w:r>
              <w:rPr>
                <w:rFonts w:ascii="Aptos" w:hAnsi="Aptos"/>
                <w:b/>
                <w:color w:val="FFFFFF"/>
                <w:sz w:val="16"/>
              </w:rPr>
              <w:t>Kontrol</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Veri anı / snapshot</w:t>
            </w:r>
          </w:p>
        </w:tc>
        <w:tc>
          <w:tcPr>
            <w:tcW w:type="dxa" w:w="4535"/>
            <w:vAlign w:val="center"/>
            <w:tcMar>
              <w:top w:w="100" w:type="dxa"/>
              <w:start w:w="120" w:type="dxa"/>
              <w:bottom w:w="100" w:type="dxa"/>
              <w:end w:w="120" w:type="dxa"/>
            </w:tcMar>
          </w:tcPr>
          <w:p>
            <w:pPr>
              <w:spacing w:after="0"/>
            </w:pPr>
            <w:r/>
            <w:r>
              <w:rPr>
                <w:rFonts w:ascii="Aptos" w:hAnsi="Aptos"/>
                <w:b w:val="0"/>
                <w:color w:val="202B33"/>
                <w:sz w:val="16"/>
              </w:rPr>
              <w:t>Stok veya açık arz değişirse sonuç farkı senaryodan kaynaklanmaz</w:t>
            </w:r>
          </w:p>
        </w:tc>
        <w:tc>
          <w:tcPr>
            <w:tcW w:type="dxa" w:w="2438"/>
            <w:vAlign w:val="center"/>
            <w:tcMar>
              <w:top w:w="100" w:type="dxa"/>
              <w:start w:w="120" w:type="dxa"/>
              <w:bottom w:w="100" w:type="dxa"/>
              <w:end w:w="120" w:type="dxa"/>
            </w:tcMar>
          </w:tcPr>
          <w:p>
            <w:pPr>
              <w:spacing w:after="0"/>
            </w:pPr>
            <w:r/>
            <w:r>
              <w:rPr>
                <w:rFonts w:ascii="Aptos" w:hAnsi="Aptos"/>
                <w:b w:val="0"/>
                <w:color w:val="202B33"/>
                <w:sz w:val="16"/>
              </w:rPr>
              <w:t>Aynı data_as_of ve girdi hash'i</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Ürün kapsamı</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6"/>
              </w:rPr>
              <w:t>Farklı SKU kümeleri toplam sonuçları karşılaştırılamaz hale getirir</w:t>
            </w:r>
          </w:p>
        </w:tc>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Aynı filtre ve ürün listesi</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Ürün eşleme sürümü</w:t>
            </w:r>
          </w:p>
        </w:tc>
        <w:tc>
          <w:tcPr>
            <w:tcW w:type="dxa" w:w="4535"/>
            <w:vAlign w:val="center"/>
            <w:tcMar>
              <w:top w:w="100" w:type="dxa"/>
              <w:start w:w="120" w:type="dxa"/>
              <w:bottom w:w="100" w:type="dxa"/>
              <w:end w:w="120" w:type="dxa"/>
            </w:tcMar>
          </w:tcPr>
          <w:p>
            <w:pPr>
              <w:spacing w:after="0"/>
            </w:pPr>
            <w:r/>
            <w:r>
              <w:rPr>
                <w:rFonts w:ascii="Aptos" w:hAnsi="Aptos"/>
                <w:b w:val="0"/>
                <w:color w:val="202B33"/>
                <w:sz w:val="16"/>
              </w:rPr>
              <w:t>Eski-yeni geçmişin değişmesi baseline'ı değiştirir</w:t>
            </w:r>
          </w:p>
        </w:tc>
        <w:tc>
          <w:tcPr>
            <w:tcW w:type="dxa" w:w="2438"/>
            <w:vAlign w:val="center"/>
            <w:tcMar>
              <w:top w:w="100" w:type="dxa"/>
              <w:start w:w="120" w:type="dxa"/>
              <w:bottom w:w="100" w:type="dxa"/>
              <w:end w:w="120" w:type="dxa"/>
            </w:tcMar>
          </w:tcPr>
          <w:p>
            <w:pPr>
              <w:spacing w:after="0"/>
            </w:pPr>
            <w:r/>
            <w:r>
              <w:rPr>
                <w:rFonts w:ascii="Aptos" w:hAnsi="Aptos"/>
                <w:b w:val="0"/>
                <w:color w:val="202B33"/>
                <w:sz w:val="16"/>
              </w:rPr>
              <w:t>Aynı mapping_version</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İş kuralı/motor sürümü</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6"/>
              </w:rPr>
              <w:t>Formül değişikliği varsayım farkıyla karışmamalıdır</w:t>
            </w:r>
          </w:p>
        </w:tc>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Aynı engine_version</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6"/>
              </w:rPr>
              <w:t>Kanal-lokasyon matrisi</w:t>
            </w:r>
          </w:p>
        </w:tc>
        <w:tc>
          <w:tcPr>
            <w:tcW w:type="dxa" w:w="4535"/>
            <w:vAlign w:val="center"/>
            <w:tcMar>
              <w:top w:w="100" w:type="dxa"/>
              <w:start w:w="120" w:type="dxa"/>
              <w:bottom w:w="100" w:type="dxa"/>
              <w:end w:w="120" w:type="dxa"/>
            </w:tcMar>
          </w:tcPr>
          <w:p>
            <w:pPr>
              <w:spacing w:after="0"/>
            </w:pPr>
            <w:r/>
            <w:r>
              <w:rPr>
                <w:rFonts w:ascii="Aptos" w:hAnsi="Aptos"/>
                <w:b w:val="0"/>
                <w:color w:val="202B33"/>
                <w:sz w:val="16"/>
              </w:rPr>
              <w:t>Erişilebilir stok havuzu değişirse üretim farkı oluşur</w:t>
            </w:r>
          </w:p>
        </w:tc>
        <w:tc>
          <w:tcPr>
            <w:tcW w:type="dxa" w:w="2438"/>
            <w:vAlign w:val="center"/>
            <w:tcMar>
              <w:top w:w="100" w:type="dxa"/>
              <w:start w:w="120" w:type="dxa"/>
              <w:bottom w:w="100" w:type="dxa"/>
              <w:end w:w="120" w:type="dxa"/>
            </w:tcMar>
          </w:tcPr>
          <w:p>
            <w:pPr>
              <w:spacing w:after="0"/>
            </w:pPr>
            <w:r/>
            <w:r>
              <w:rPr>
                <w:rFonts w:ascii="Aptos" w:hAnsi="Aptos"/>
                <w:b w:val="0"/>
                <w:color w:val="202B33"/>
                <w:sz w:val="16"/>
              </w:rPr>
              <w:t>Aynı rule_version</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6"/>
              </w:rPr>
              <w:t>Para/adet ve takvim tanımı</w:t>
            </w:r>
          </w:p>
        </w:tc>
        <w:tc>
          <w:tcPr>
            <w:tcW w:type="dxa" w:w="4535"/>
            <w:vAlign w:val="center"/>
            <w:tcMar>
              <w:top w:w="100" w:type="dxa"/>
              <w:start w:w="120" w:type="dxa"/>
              <w:bottom w:w="100" w:type="dxa"/>
              <w:end w:w="120" w:type="dxa"/>
            </w:tcMar>
            <w:shd w:fill="F3F5F7"/>
          </w:tcPr>
          <w:p>
            <w:pPr>
              <w:spacing w:after="0"/>
            </w:pPr>
            <w:r/>
            <w:r>
              <w:rPr>
                <w:rFonts w:ascii="Aptos" w:hAnsi="Aptos"/>
                <w:b w:val="0"/>
                <w:color w:val="202B33"/>
                <w:sz w:val="16"/>
              </w:rPr>
              <w:t>Birim ve hafta sınırı değişikliği hesabı bozar</w:t>
            </w:r>
          </w:p>
        </w:tc>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Aynı temel birim ve takvim</w:t>
            </w:r>
          </w:p>
        </w:tc>
      </w:tr>
    </w:tbl>
    <w:p>
      <w:pPr>
        <w:spacing w:after="0"/>
      </w:pPr>
    </w:p>
    <w:p>
      <w:pPr>
        <w:pStyle w:val="Heading2"/>
      </w:pPr>
      <w:r>
        <w:t>9.3 Simülasyonlar arasında değiştirilebilecek varsayımlar</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814"/>
            <w:vAlign w:val="center"/>
            <w:tcMar>
              <w:top w:w="100" w:type="dxa"/>
              <w:start w:w="120" w:type="dxa"/>
              <w:bottom w:w="100" w:type="dxa"/>
              <w:end w:w="120" w:type="dxa"/>
            </w:tcMar>
            <w:shd w:fill="17324D"/>
          </w:tcPr>
          <w:p>
            <w:pPr>
              <w:spacing w:after="0"/>
            </w:pPr>
            <w:r/>
            <w:r>
              <w:rPr>
                <w:rFonts w:ascii="Aptos" w:hAnsi="Aptos"/>
                <w:b/>
                <w:color w:val="FFFFFF"/>
                <w:sz w:val="16"/>
              </w:rPr>
              <w:t>Varsayım</w:t>
            </w:r>
          </w:p>
        </w:tc>
        <w:tc>
          <w:tcPr>
            <w:tcW w:type="dxa" w:w="2154"/>
            <w:vAlign w:val="center"/>
            <w:tcMar>
              <w:top w:w="100" w:type="dxa"/>
              <w:start w:w="120" w:type="dxa"/>
              <w:bottom w:w="100" w:type="dxa"/>
              <w:end w:w="120" w:type="dxa"/>
            </w:tcMar>
            <w:shd w:fill="17324D"/>
          </w:tcPr>
          <w:p>
            <w:pPr>
              <w:spacing w:after="0"/>
            </w:pPr>
            <w:r/>
            <w:r>
              <w:rPr>
                <w:rFonts w:ascii="Aptos" w:hAnsi="Aptos"/>
                <w:b/>
                <w:color w:val="FFFFFF"/>
                <w:sz w:val="16"/>
              </w:rPr>
              <w:t>Örnek seçenek</w:t>
            </w:r>
          </w:p>
        </w:tc>
        <w:tc>
          <w:tcPr>
            <w:tcW w:type="dxa" w:w="2268"/>
            <w:vAlign w:val="center"/>
            <w:tcMar>
              <w:top w:w="100" w:type="dxa"/>
              <w:start w:w="120" w:type="dxa"/>
              <w:bottom w:w="100" w:type="dxa"/>
              <w:end w:w="120" w:type="dxa"/>
            </w:tcMar>
            <w:shd w:fill="17324D"/>
          </w:tcPr>
          <w:p>
            <w:pPr>
              <w:spacing w:after="0"/>
            </w:pPr>
            <w:r/>
            <w:r>
              <w:rPr>
                <w:rFonts w:ascii="Aptos" w:hAnsi="Aptos"/>
                <w:b/>
                <w:color w:val="FFFFFF"/>
                <w:sz w:val="16"/>
              </w:rPr>
              <w:t>Etkilediği hesap</w:t>
            </w:r>
          </w:p>
        </w:tc>
        <w:tc>
          <w:tcPr>
            <w:tcW w:type="dxa" w:w="3005"/>
            <w:vAlign w:val="center"/>
            <w:tcMar>
              <w:top w:w="100" w:type="dxa"/>
              <w:start w:w="120" w:type="dxa"/>
              <w:bottom w:w="100" w:type="dxa"/>
              <w:end w:w="120" w:type="dxa"/>
            </w:tcMar>
            <w:shd w:fill="17324D"/>
          </w:tcPr>
          <w:p>
            <w:pPr>
              <w:spacing w:after="0"/>
            </w:pPr>
            <w:r/>
            <w:r>
              <w:rPr>
                <w:rFonts w:ascii="Aptos" w:hAnsi="Aptos"/>
                <w:b/>
                <w:color w:val="FFFFFF"/>
                <w:sz w:val="16"/>
              </w:rPr>
              <w:t>Değiştirme nedeni</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4"/>
              </w:rPr>
              <w:t>Referans dönem</w:t>
            </w:r>
          </w:p>
        </w:tc>
        <w:tc>
          <w:tcPr>
            <w:tcW w:type="dxa" w:w="2154"/>
            <w:vAlign w:val="center"/>
            <w:tcMar>
              <w:top w:w="100" w:type="dxa"/>
              <w:start w:w="120" w:type="dxa"/>
              <w:bottom w:w="100" w:type="dxa"/>
              <w:end w:w="120" w:type="dxa"/>
            </w:tcMar>
          </w:tcPr>
          <w:p>
            <w:pPr>
              <w:spacing w:after="0"/>
            </w:pPr>
            <w:r/>
            <w:r>
              <w:rPr>
                <w:rFonts w:ascii="Aptos" w:hAnsi="Aptos"/>
                <w:b w:val="0"/>
                <w:color w:val="202B33"/>
                <w:sz w:val="14"/>
              </w:rPr>
              <w:t>Geçen yıl aynı dönem / son 13 hafta / özel sezon</w:t>
            </w:r>
          </w:p>
        </w:tc>
        <w:tc>
          <w:tcPr>
            <w:tcW w:type="dxa" w:w="2268"/>
            <w:vAlign w:val="center"/>
            <w:tcMar>
              <w:top w:w="100" w:type="dxa"/>
              <w:start w:w="120" w:type="dxa"/>
              <w:bottom w:w="100" w:type="dxa"/>
              <w:end w:w="120" w:type="dxa"/>
            </w:tcMar>
          </w:tcPr>
          <w:p>
            <w:pPr>
              <w:spacing w:after="0"/>
            </w:pPr>
            <w:r/>
            <w:r>
              <w:rPr>
                <w:rFonts w:ascii="Aptos" w:hAnsi="Aptos"/>
                <w:b w:val="0"/>
                <w:color w:val="202B33"/>
                <w:sz w:val="14"/>
              </w:rPr>
              <w:t>Net talep hızı</w:t>
            </w:r>
          </w:p>
        </w:tc>
        <w:tc>
          <w:tcPr>
            <w:tcW w:type="dxa" w:w="3005"/>
            <w:vAlign w:val="center"/>
            <w:tcMar>
              <w:top w:w="100" w:type="dxa"/>
              <w:start w:w="120" w:type="dxa"/>
              <w:bottom w:w="100" w:type="dxa"/>
              <w:end w:w="120" w:type="dxa"/>
            </w:tcMar>
          </w:tcPr>
          <w:p>
            <w:pPr>
              <w:spacing w:after="0"/>
            </w:pPr>
            <w:r/>
            <w:r>
              <w:rPr>
                <w:rFonts w:ascii="Aptos" w:hAnsi="Aptos"/>
                <w:b w:val="0"/>
                <w:color w:val="202B33"/>
                <w:sz w:val="14"/>
              </w:rPr>
              <w:t>Hangi geçmişin geleceği daha iyi temsil ettiğini görmek</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4"/>
              </w:rPr>
              <w:t>Büyüme/daralma</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4"/>
              </w:rPr>
              <w:t>0,90 / 1,00 / 1,05 / 1,15</w:t>
            </w:r>
          </w:p>
        </w:tc>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4"/>
              </w:rPr>
              <w:t>Baz forecast</w:t>
            </w:r>
          </w:p>
        </w:tc>
        <w:tc>
          <w:tcPr>
            <w:tcW w:type="dxa" w:w="3005"/>
            <w:vAlign w:val="center"/>
            <w:tcMar>
              <w:top w:w="100" w:type="dxa"/>
              <w:start w:w="120" w:type="dxa"/>
              <w:bottom w:w="100" w:type="dxa"/>
              <w:end w:w="120" w:type="dxa"/>
            </w:tcMar>
            <w:shd w:fill="F3F5F7"/>
          </w:tcPr>
          <w:p>
            <w:pPr>
              <w:spacing w:after="0"/>
            </w:pPr>
            <w:r/>
            <w:r>
              <w:rPr>
                <w:rFonts w:ascii="Aptos" w:hAnsi="Aptos"/>
                <w:b w:val="0"/>
                <w:color w:val="202B33"/>
                <w:sz w:val="14"/>
              </w:rPr>
              <w:t>Ticari beklentiyi ve risk iştahını sınamak</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4"/>
              </w:rPr>
              <w:t>Safety stock</w:t>
            </w:r>
          </w:p>
        </w:tc>
        <w:tc>
          <w:tcPr>
            <w:tcW w:type="dxa" w:w="2154"/>
            <w:vAlign w:val="center"/>
            <w:tcMar>
              <w:top w:w="100" w:type="dxa"/>
              <w:start w:w="120" w:type="dxa"/>
              <w:bottom w:w="100" w:type="dxa"/>
              <w:end w:w="120" w:type="dxa"/>
            </w:tcMar>
          </w:tcPr>
          <w:p>
            <w:pPr>
              <w:spacing w:after="0"/>
            </w:pPr>
            <w:r/>
            <w:r>
              <w:rPr>
                <w:rFonts w:ascii="Aptos" w:hAnsi="Aptos"/>
                <w:b w:val="0"/>
                <w:color w:val="202B33"/>
                <w:sz w:val="14"/>
              </w:rPr>
              <w:t>0 / sabit adet / servis hedefli</w:t>
            </w:r>
          </w:p>
        </w:tc>
        <w:tc>
          <w:tcPr>
            <w:tcW w:type="dxa" w:w="2268"/>
            <w:vAlign w:val="center"/>
            <w:tcMar>
              <w:top w:w="100" w:type="dxa"/>
              <w:start w:w="120" w:type="dxa"/>
              <w:bottom w:w="100" w:type="dxa"/>
              <w:end w:w="120" w:type="dxa"/>
            </w:tcMar>
          </w:tcPr>
          <w:p>
            <w:pPr>
              <w:spacing w:after="0"/>
            </w:pPr>
            <w:r/>
            <w:r>
              <w:rPr>
                <w:rFonts w:ascii="Aptos" w:hAnsi="Aptos"/>
                <w:b w:val="0"/>
                <w:color w:val="202B33"/>
                <w:sz w:val="14"/>
              </w:rPr>
              <w:t>Ham üretim ihtiyacı</w:t>
            </w:r>
          </w:p>
        </w:tc>
        <w:tc>
          <w:tcPr>
            <w:tcW w:type="dxa" w:w="3005"/>
            <w:vAlign w:val="center"/>
            <w:tcMar>
              <w:top w:w="100" w:type="dxa"/>
              <w:start w:w="120" w:type="dxa"/>
              <w:bottom w:w="100" w:type="dxa"/>
              <w:end w:w="120" w:type="dxa"/>
            </w:tcMar>
          </w:tcPr>
          <w:p>
            <w:pPr>
              <w:spacing w:after="0"/>
            </w:pPr>
            <w:r/>
            <w:r>
              <w:rPr>
                <w:rFonts w:ascii="Aptos" w:hAnsi="Aptos"/>
                <w:b w:val="0"/>
                <w:color w:val="202B33"/>
                <w:sz w:val="14"/>
              </w:rPr>
              <w:t>Belirsizlik ve servis seviyesi tercihi</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4"/>
              </w:rPr>
              <w:t>Stockout yaklaşımı</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4"/>
              </w:rPr>
              <w:t>Yalnız işaretle / hariç tut / kontrollü düzelt</w:t>
            </w:r>
          </w:p>
        </w:tc>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4"/>
              </w:rPr>
              <w:t>Referans talep</w:t>
            </w:r>
          </w:p>
        </w:tc>
        <w:tc>
          <w:tcPr>
            <w:tcW w:type="dxa" w:w="3005"/>
            <w:vAlign w:val="center"/>
            <w:tcMar>
              <w:top w:w="100" w:type="dxa"/>
              <w:start w:w="120" w:type="dxa"/>
              <w:bottom w:w="100" w:type="dxa"/>
              <w:end w:w="120" w:type="dxa"/>
            </w:tcMar>
            <w:shd w:fill="F3F5F7"/>
          </w:tcPr>
          <w:p>
            <w:pPr>
              <w:spacing w:after="0"/>
            </w:pPr>
            <w:r/>
            <w:r>
              <w:rPr>
                <w:rFonts w:ascii="Aptos" w:hAnsi="Aptos"/>
                <w:b w:val="0"/>
                <w:color w:val="202B33"/>
                <w:sz w:val="14"/>
              </w:rPr>
              <w:t>Sansürlenmiş satışın etkisini görmek</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4"/>
              </w:rPr>
              <w:t>İade yaklaşımı</w:t>
            </w:r>
          </w:p>
        </w:tc>
        <w:tc>
          <w:tcPr>
            <w:tcW w:type="dxa" w:w="2154"/>
            <w:vAlign w:val="center"/>
            <w:tcMar>
              <w:top w:w="100" w:type="dxa"/>
              <w:start w:w="120" w:type="dxa"/>
              <w:bottom w:w="100" w:type="dxa"/>
              <w:end w:w="120" w:type="dxa"/>
            </w:tcMar>
          </w:tcPr>
          <w:p>
            <w:pPr>
              <w:spacing w:after="0"/>
            </w:pPr>
            <w:r/>
            <w:r>
              <w:rPr>
                <w:rFonts w:ascii="Aptos" w:hAnsi="Aptos"/>
                <w:b w:val="0"/>
                <w:color w:val="202B33"/>
                <w:sz w:val="14"/>
              </w:rPr>
              <w:t>Tüm gerçekleşmiş / yalnız satılabilir / kaynak döneme bağlı</w:t>
            </w:r>
          </w:p>
        </w:tc>
        <w:tc>
          <w:tcPr>
            <w:tcW w:type="dxa" w:w="2268"/>
            <w:vAlign w:val="center"/>
            <w:tcMar>
              <w:top w:w="100" w:type="dxa"/>
              <w:start w:w="120" w:type="dxa"/>
              <w:bottom w:w="100" w:type="dxa"/>
              <w:end w:w="120" w:type="dxa"/>
            </w:tcMar>
          </w:tcPr>
          <w:p>
            <w:pPr>
              <w:spacing w:after="0"/>
            </w:pPr>
            <w:r/>
            <w:r>
              <w:rPr>
                <w:rFonts w:ascii="Aptos" w:hAnsi="Aptos"/>
                <w:b w:val="0"/>
                <w:color w:val="202B33"/>
                <w:sz w:val="14"/>
              </w:rPr>
              <w:t>Net talep ve arz</w:t>
            </w:r>
          </w:p>
        </w:tc>
        <w:tc>
          <w:tcPr>
            <w:tcW w:type="dxa" w:w="3005"/>
            <w:vAlign w:val="center"/>
            <w:tcMar>
              <w:top w:w="100" w:type="dxa"/>
              <w:start w:w="120" w:type="dxa"/>
              <w:bottom w:w="100" w:type="dxa"/>
              <w:end w:w="120" w:type="dxa"/>
            </w:tcMar>
          </w:tcPr>
          <w:p>
            <w:pPr>
              <w:spacing w:after="0"/>
            </w:pPr>
            <w:r/>
            <w:r>
              <w:rPr>
                <w:rFonts w:ascii="Aptos" w:hAnsi="Aptos"/>
                <w:b w:val="0"/>
                <w:color w:val="202B33"/>
                <w:sz w:val="14"/>
              </w:rPr>
              <w:t>İade niteliğinin plan üzerindeki etkisini ayırmak</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4"/>
              </w:rPr>
              <w:t>Beden yumuşatma</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4"/>
              </w:rPr>
              <w:t>%70 model + %30 aile gibi</w:t>
            </w:r>
          </w:p>
        </w:tc>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4"/>
              </w:rPr>
              <w:t>SKU/beden dağılımı</w:t>
            </w:r>
          </w:p>
        </w:tc>
        <w:tc>
          <w:tcPr>
            <w:tcW w:type="dxa" w:w="3005"/>
            <w:vAlign w:val="center"/>
            <w:tcMar>
              <w:top w:w="100" w:type="dxa"/>
              <w:start w:w="120" w:type="dxa"/>
              <w:bottom w:w="100" w:type="dxa"/>
              <w:end w:w="120" w:type="dxa"/>
            </w:tcMar>
            <w:shd w:fill="F3F5F7"/>
          </w:tcPr>
          <w:p>
            <w:pPr>
              <w:spacing w:after="0"/>
            </w:pPr>
            <w:r/>
            <w:r>
              <w:rPr>
                <w:rFonts w:ascii="Aptos" w:hAnsi="Aptos"/>
                <w:b w:val="0"/>
                <w:color w:val="202B33"/>
                <w:sz w:val="14"/>
              </w:rPr>
              <w:t>Seyrek bedenlerde dayanıklılığı test etmek</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4"/>
              </w:rPr>
              <w:t>Gelecek arz güveni</w:t>
            </w:r>
          </w:p>
        </w:tc>
        <w:tc>
          <w:tcPr>
            <w:tcW w:type="dxa" w:w="2154"/>
            <w:vAlign w:val="center"/>
            <w:tcMar>
              <w:top w:w="100" w:type="dxa"/>
              <w:start w:w="120" w:type="dxa"/>
              <w:bottom w:w="100" w:type="dxa"/>
              <w:end w:w="120" w:type="dxa"/>
            </w:tcMar>
          </w:tcPr>
          <w:p>
            <w:pPr>
              <w:spacing w:after="0"/>
            </w:pPr>
            <w:r/>
            <w:r>
              <w:rPr>
                <w:rFonts w:ascii="Aptos" w:hAnsi="Aptos"/>
                <w:b w:val="0"/>
                <w:color w:val="202B33"/>
                <w:sz w:val="14"/>
              </w:rPr>
              <w:t>Kesin arz / gecikme riski olanı hariç</w:t>
            </w:r>
          </w:p>
        </w:tc>
        <w:tc>
          <w:tcPr>
            <w:tcW w:type="dxa" w:w="2268"/>
            <w:vAlign w:val="center"/>
            <w:tcMar>
              <w:top w:w="100" w:type="dxa"/>
              <w:start w:w="120" w:type="dxa"/>
              <w:bottom w:w="100" w:type="dxa"/>
              <w:end w:w="120" w:type="dxa"/>
            </w:tcMar>
          </w:tcPr>
          <w:p>
            <w:pPr>
              <w:spacing w:after="0"/>
            </w:pPr>
            <w:r/>
            <w:r>
              <w:rPr>
                <w:rFonts w:ascii="Aptos" w:hAnsi="Aptos"/>
                <w:b w:val="0"/>
                <w:color w:val="202B33"/>
                <w:sz w:val="14"/>
              </w:rPr>
              <w:t>Karşılanmamış ihtiyaç</w:t>
            </w:r>
          </w:p>
        </w:tc>
        <w:tc>
          <w:tcPr>
            <w:tcW w:type="dxa" w:w="3005"/>
            <w:vAlign w:val="center"/>
            <w:tcMar>
              <w:top w:w="100" w:type="dxa"/>
              <w:start w:w="120" w:type="dxa"/>
              <w:bottom w:w="100" w:type="dxa"/>
              <w:end w:w="120" w:type="dxa"/>
            </w:tcMar>
          </w:tcPr>
          <w:p>
            <w:pPr>
              <w:spacing w:after="0"/>
            </w:pPr>
            <w:r/>
            <w:r>
              <w:rPr>
                <w:rFonts w:ascii="Aptos" w:hAnsi="Aptos"/>
                <w:b w:val="0"/>
                <w:color w:val="202B33"/>
                <w:sz w:val="14"/>
              </w:rPr>
              <w:t>Termin belirsizliğini görünür yapmak</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4"/>
              </w:rPr>
              <w:t>MOQ/üretim katı</w:t>
            </w:r>
          </w:p>
        </w:tc>
        <w:tc>
          <w:tcPr>
            <w:tcW w:type="dxa" w:w="2154"/>
            <w:vAlign w:val="center"/>
            <w:tcMar>
              <w:top w:w="100" w:type="dxa"/>
              <w:start w:w="120" w:type="dxa"/>
              <w:bottom w:w="100" w:type="dxa"/>
              <w:end w:w="120" w:type="dxa"/>
            </w:tcMar>
            <w:shd w:fill="F3F5F7"/>
          </w:tcPr>
          <w:p>
            <w:pPr>
              <w:spacing w:after="0"/>
            </w:pPr>
            <w:r/>
            <w:r>
              <w:rPr>
                <w:rFonts w:ascii="Aptos" w:hAnsi="Aptos"/>
                <w:b w:val="0"/>
                <w:color w:val="202B33"/>
                <w:sz w:val="14"/>
              </w:rPr>
              <w:t>Onaylı master / alternatif parti</w:t>
            </w:r>
          </w:p>
        </w:tc>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4"/>
              </w:rPr>
              <w:t>Nihai üretim</w:t>
            </w:r>
          </w:p>
        </w:tc>
        <w:tc>
          <w:tcPr>
            <w:tcW w:type="dxa" w:w="3005"/>
            <w:vAlign w:val="center"/>
            <w:tcMar>
              <w:top w:w="100" w:type="dxa"/>
              <w:start w:w="120" w:type="dxa"/>
              <w:bottom w:w="100" w:type="dxa"/>
              <w:end w:w="120" w:type="dxa"/>
            </w:tcMar>
            <w:shd w:fill="F3F5F7"/>
          </w:tcPr>
          <w:p>
            <w:pPr>
              <w:spacing w:after="0"/>
            </w:pPr>
            <w:r/>
            <w:r>
              <w:rPr>
                <w:rFonts w:ascii="Aptos" w:hAnsi="Aptos"/>
                <w:b w:val="0"/>
                <w:color w:val="202B33"/>
                <w:sz w:val="14"/>
              </w:rPr>
              <w:t>Operasyonel parti kararının etkisini ölçmek</w:t>
            </w:r>
          </w:p>
        </w:tc>
      </w:tr>
    </w:tbl>
    <w:p>
      <w:pPr>
        <w:spacing w:after="0"/>
      </w:pPr>
    </w:p>
    <w:p>
      <w:pPr>
        <w:pStyle w:val="Heading2"/>
      </w:pPr>
      <w:r>
        <w:t>9.4 Önerilen standart simülasyon seti</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814"/>
            <w:vAlign w:val="center"/>
            <w:tcMar>
              <w:top w:w="100" w:type="dxa"/>
              <w:start w:w="120" w:type="dxa"/>
              <w:bottom w:w="100" w:type="dxa"/>
              <w:end w:w="120" w:type="dxa"/>
            </w:tcMar>
            <w:shd w:fill="17324D"/>
          </w:tcPr>
          <w:p>
            <w:pPr>
              <w:spacing w:after="0"/>
            </w:pPr>
            <w:r/>
            <w:r>
              <w:rPr>
                <w:rFonts w:ascii="Aptos" w:hAnsi="Aptos"/>
                <w:b/>
                <w:color w:val="FFFFFF"/>
                <w:sz w:val="16"/>
              </w:rPr>
              <w:t>Simülasyon</w:t>
            </w:r>
          </w:p>
        </w:tc>
        <w:tc>
          <w:tcPr>
            <w:tcW w:type="dxa" w:w="2891"/>
            <w:vAlign w:val="center"/>
            <w:tcMar>
              <w:top w:w="100" w:type="dxa"/>
              <w:start w:w="120" w:type="dxa"/>
              <w:bottom w:w="100" w:type="dxa"/>
              <w:end w:w="120" w:type="dxa"/>
            </w:tcMar>
            <w:shd w:fill="17324D"/>
          </w:tcPr>
          <w:p>
            <w:pPr>
              <w:spacing w:after="0"/>
            </w:pPr>
            <w:r/>
            <w:r>
              <w:rPr>
                <w:rFonts w:ascii="Aptos" w:hAnsi="Aptos"/>
                <w:b/>
                <w:color w:val="FFFFFF"/>
                <w:sz w:val="16"/>
              </w:rPr>
              <w:t>Ana varsayım</w:t>
            </w:r>
          </w:p>
        </w:tc>
        <w:tc>
          <w:tcPr>
            <w:tcW w:type="dxa" w:w="2665"/>
            <w:vAlign w:val="center"/>
            <w:tcMar>
              <w:top w:w="100" w:type="dxa"/>
              <w:start w:w="120" w:type="dxa"/>
              <w:bottom w:w="100" w:type="dxa"/>
              <w:end w:w="120" w:type="dxa"/>
            </w:tcMar>
            <w:shd w:fill="17324D"/>
          </w:tcPr>
          <w:p>
            <w:pPr>
              <w:spacing w:after="0"/>
            </w:pPr>
            <w:r/>
            <w:r>
              <w:rPr>
                <w:rFonts w:ascii="Aptos" w:hAnsi="Aptos"/>
                <w:b/>
                <w:color w:val="FFFFFF"/>
                <w:sz w:val="16"/>
              </w:rPr>
              <w:t>Amaç</w:t>
            </w:r>
          </w:p>
        </w:tc>
        <w:tc>
          <w:tcPr>
            <w:tcW w:type="dxa" w:w="1871"/>
            <w:vAlign w:val="center"/>
            <w:tcMar>
              <w:top w:w="100" w:type="dxa"/>
              <w:start w:w="120" w:type="dxa"/>
              <w:bottom w:w="100" w:type="dxa"/>
              <w:end w:w="120" w:type="dxa"/>
            </w:tcMar>
            <w:shd w:fill="17324D"/>
          </w:tcPr>
          <w:p>
            <w:pPr>
              <w:spacing w:after="0"/>
            </w:pPr>
            <w:r/>
            <w:r>
              <w:rPr>
                <w:rFonts w:ascii="Aptos" w:hAnsi="Aptos"/>
                <w:b/>
                <w:color w:val="FFFFFF"/>
                <w:sz w:val="16"/>
              </w:rPr>
              <w:t>Karar yorumu</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S0 — Referans</w:t>
            </w:r>
          </w:p>
        </w:tc>
        <w:tc>
          <w:tcPr>
            <w:tcW w:type="dxa" w:w="2891"/>
            <w:vAlign w:val="center"/>
            <w:tcMar>
              <w:top w:w="100" w:type="dxa"/>
              <w:start w:w="120" w:type="dxa"/>
              <w:bottom w:w="100" w:type="dxa"/>
              <w:end w:w="120" w:type="dxa"/>
            </w:tcMar>
          </w:tcPr>
          <w:p>
            <w:pPr>
              <w:spacing w:after="0"/>
            </w:pPr>
            <w:r/>
            <w:r>
              <w:rPr>
                <w:rFonts w:ascii="Aptos" w:hAnsi="Aptos"/>
                <w:b w:val="0"/>
                <w:color w:val="202B33"/>
                <w:sz w:val="15"/>
              </w:rPr>
              <w:t>Büyüme 1,00; minimum safety stock</w:t>
            </w:r>
          </w:p>
        </w:tc>
        <w:tc>
          <w:tcPr>
            <w:tcW w:type="dxa" w:w="2665"/>
            <w:vAlign w:val="center"/>
            <w:tcMar>
              <w:top w:w="100" w:type="dxa"/>
              <w:start w:w="120" w:type="dxa"/>
              <w:bottom w:w="100" w:type="dxa"/>
              <w:end w:w="120" w:type="dxa"/>
            </w:tcMar>
          </w:tcPr>
          <w:p>
            <w:pPr>
              <w:spacing w:after="0"/>
            </w:pPr>
            <w:r/>
            <w:r>
              <w:rPr>
                <w:rFonts w:ascii="Aptos" w:hAnsi="Aptos"/>
                <w:b w:val="0"/>
                <w:color w:val="202B33"/>
                <w:sz w:val="15"/>
              </w:rPr>
              <w:t>Geçmiş aynı şekilde tekrar ederse ihtiyaç</w:t>
            </w:r>
          </w:p>
        </w:tc>
        <w:tc>
          <w:tcPr>
            <w:tcW w:type="dxa" w:w="1871"/>
            <w:vAlign w:val="center"/>
            <w:tcMar>
              <w:top w:w="100" w:type="dxa"/>
              <w:start w:w="120" w:type="dxa"/>
              <w:bottom w:w="100" w:type="dxa"/>
              <w:end w:w="120" w:type="dxa"/>
            </w:tcMar>
          </w:tcPr>
          <w:p>
            <w:pPr>
              <w:spacing w:after="0"/>
            </w:pPr>
            <w:r/>
            <w:r>
              <w:rPr>
                <w:rFonts w:ascii="Aptos" w:hAnsi="Aptos"/>
                <w:b w:val="0"/>
                <w:color w:val="202B33"/>
                <w:sz w:val="15"/>
              </w:rPr>
              <w:t>Yöntemin çıplak baseline'ı</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S1 — Düşük</w:t>
            </w:r>
          </w:p>
        </w:tc>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Daralma veya düşük büyüme; temkinli stok</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5"/>
              </w:rPr>
              <w:t>Elde kalma ve indirim riskini sınırlamak</w:t>
            </w:r>
          </w:p>
        </w:tc>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Alt üretim sınırı</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S2 — Baz</w:t>
            </w:r>
          </w:p>
        </w:tc>
        <w:tc>
          <w:tcPr>
            <w:tcW w:type="dxa" w:w="2891"/>
            <w:vAlign w:val="center"/>
            <w:tcMar>
              <w:top w:w="100" w:type="dxa"/>
              <w:start w:w="120" w:type="dxa"/>
              <w:bottom w:w="100" w:type="dxa"/>
              <w:end w:w="120" w:type="dxa"/>
            </w:tcMar>
          </w:tcPr>
          <w:p>
            <w:pPr>
              <w:spacing w:after="0"/>
            </w:pPr>
            <w:r/>
            <w:r>
              <w:rPr>
                <w:rFonts w:ascii="Aptos" w:hAnsi="Aptos"/>
                <w:b w:val="0"/>
                <w:color w:val="202B33"/>
                <w:sz w:val="15"/>
              </w:rPr>
              <w:t>Onaylı ticari büyüme; standart safety stock</w:t>
            </w:r>
          </w:p>
        </w:tc>
        <w:tc>
          <w:tcPr>
            <w:tcW w:type="dxa" w:w="2665"/>
            <w:vAlign w:val="center"/>
            <w:tcMar>
              <w:top w:w="100" w:type="dxa"/>
              <w:start w:w="120" w:type="dxa"/>
              <w:bottom w:w="100" w:type="dxa"/>
              <w:end w:w="120" w:type="dxa"/>
            </w:tcMar>
          </w:tcPr>
          <w:p>
            <w:pPr>
              <w:spacing w:after="0"/>
            </w:pPr>
            <w:r/>
            <w:r>
              <w:rPr>
                <w:rFonts w:ascii="Aptos" w:hAnsi="Aptos"/>
                <w:b w:val="0"/>
                <w:color w:val="202B33"/>
                <w:sz w:val="15"/>
              </w:rPr>
              <w:t>En olası operasyon planı</w:t>
            </w:r>
          </w:p>
        </w:tc>
        <w:tc>
          <w:tcPr>
            <w:tcW w:type="dxa" w:w="1871"/>
            <w:vAlign w:val="center"/>
            <w:tcMar>
              <w:top w:w="100" w:type="dxa"/>
              <w:start w:w="120" w:type="dxa"/>
              <w:bottom w:w="100" w:type="dxa"/>
              <w:end w:w="120" w:type="dxa"/>
            </w:tcMar>
          </w:tcPr>
          <w:p>
            <w:pPr>
              <w:spacing w:after="0"/>
            </w:pPr>
            <w:r/>
            <w:r>
              <w:rPr>
                <w:rFonts w:ascii="Aptos" w:hAnsi="Aptos"/>
                <w:b w:val="0"/>
                <w:color w:val="202B33"/>
                <w:sz w:val="15"/>
              </w:rPr>
              <w:t>Baz plan adayı</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S3 — Yüksek</w:t>
            </w:r>
          </w:p>
        </w:tc>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Yüksek büyüme ve/veya servis tamponu</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5"/>
              </w:rPr>
              <w:t>Yok satma ve kaçan satış riskini görmek</w:t>
            </w:r>
          </w:p>
        </w:tc>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Üst ihtiyaç sınırı</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S4 — Arz gecikmesi</w:t>
            </w:r>
          </w:p>
        </w:tc>
        <w:tc>
          <w:tcPr>
            <w:tcW w:type="dxa" w:w="2891"/>
            <w:vAlign w:val="center"/>
            <w:tcMar>
              <w:top w:w="100" w:type="dxa"/>
              <w:start w:w="120" w:type="dxa"/>
              <w:bottom w:w="100" w:type="dxa"/>
              <w:end w:w="120" w:type="dxa"/>
            </w:tcMar>
          </w:tcPr>
          <w:p>
            <w:pPr>
              <w:spacing w:after="0"/>
            </w:pPr>
            <w:r/>
            <w:r>
              <w:rPr>
                <w:rFonts w:ascii="Aptos" w:hAnsi="Aptos"/>
                <w:b w:val="0"/>
                <w:color w:val="202B33"/>
                <w:sz w:val="15"/>
              </w:rPr>
              <w:t>Riskli inbound/WO kısmen veya tamamen hariç</w:t>
            </w:r>
          </w:p>
        </w:tc>
        <w:tc>
          <w:tcPr>
            <w:tcW w:type="dxa" w:w="2665"/>
            <w:vAlign w:val="center"/>
            <w:tcMar>
              <w:top w:w="100" w:type="dxa"/>
              <w:start w:w="120" w:type="dxa"/>
              <w:bottom w:w="100" w:type="dxa"/>
              <w:end w:w="120" w:type="dxa"/>
            </w:tcMar>
          </w:tcPr>
          <w:p>
            <w:pPr>
              <w:spacing w:after="0"/>
            </w:pPr>
            <w:r/>
            <w:r>
              <w:rPr>
                <w:rFonts w:ascii="Aptos" w:hAnsi="Aptos"/>
                <w:b w:val="0"/>
                <w:color w:val="202B33"/>
                <w:sz w:val="15"/>
              </w:rPr>
              <w:t>Termin sapmasının üretime etkisi</w:t>
            </w:r>
          </w:p>
        </w:tc>
        <w:tc>
          <w:tcPr>
            <w:tcW w:type="dxa" w:w="1871"/>
            <w:vAlign w:val="center"/>
            <w:tcMar>
              <w:top w:w="100" w:type="dxa"/>
              <w:start w:w="120" w:type="dxa"/>
              <w:bottom w:w="100" w:type="dxa"/>
              <w:end w:w="120" w:type="dxa"/>
            </w:tcMar>
          </w:tcPr>
          <w:p>
            <w:pPr>
              <w:spacing w:after="0"/>
            </w:pPr>
            <w:r/>
            <w:r>
              <w:rPr>
                <w:rFonts w:ascii="Aptos" w:hAnsi="Aptos"/>
                <w:b w:val="0"/>
                <w:color w:val="202B33"/>
                <w:sz w:val="15"/>
              </w:rPr>
              <w:t>Tedarik risk planı</w:t>
            </w:r>
          </w:p>
        </w:tc>
      </w:tr>
      <w:tr>
        <w:trPr>
          <w:cantSplit/>
        </w:trPr>
        <w:tc>
          <w:tcPr>
            <w:tcW w:type="dxa" w:w="1814"/>
            <w:vAlign w:val="center"/>
            <w:tcMar>
              <w:top w:w="100" w:type="dxa"/>
              <w:start w:w="120" w:type="dxa"/>
              <w:bottom w:w="100" w:type="dxa"/>
              <w:end w:w="120" w:type="dxa"/>
            </w:tcMar>
            <w:shd w:fill="F3F5F7"/>
          </w:tcPr>
          <w:p>
            <w:pPr>
              <w:spacing w:after="0"/>
            </w:pPr>
            <w:r/>
            <w:r>
              <w:rPr>
                <w:rFonts w:ascii="Aptos" w:hAnsi="Aptos"/>
                <w:b w:val="0"/>
                <w:color w:val="202B33"/>
                <w:sz w:val="15"/>
              </w:rPr>
              <w:t>S5 — Stockout düzeltmeli</w:t>
            </w:r>
          </w:p>
        </w:tc>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Stockout dönemlerine kontrollü talep düzeltmesi</w:t>
            </w:r>
          </w:p>
        </w:tc>
        <w:tc>
          <w:tcPr>
            <w:tcW w:type="dxa" w:w="2665"/>
            <w:vAlign w:val="center"/>
            <w:tcMar>
              <w:top w:w="100" w:type="dxa"/>
              <w:start w:w="120" w:type="dxa"/>
              <w:bottom w:w="100" w:type="dxa"/>
              <w:end w:w="120" w:type="dxa"/>
            </w:tcMar>
            <w:shd w:fill="F3F5F7"/>
          </w:tcPr>
          <w:p>
            <w:pPr>
              <w:spacing w:after="0"/>
            </w:pPr>
            <w:r/>
            <w:r>
              <w:rPr>
                <w:rFonts w:ascii="Aptos" w:hAnsi="Aptos"/>
                <w:b w:val="0"/>
                <w:color w:val="202B33"/>
                <w:sz w:val="15"/>
              </w:rPr>
              <w:t>Bastırılmış talep etkisini ölçmek</w:t>
            </w:r>
          </w:p>
        </w:tc>
        <w:tc>
          <w:tcPr>
            <w:tcW w:type="dxa" w:w="1871"/>
            <w:vAlign w:val="center"/>
            <w:tcMar>
              <w:top w:w="100" w:type="dxa"/>
              <w:start w:w="120" w:type="dxa"/>
              <w:bottom w:w="100" w:type="dxa"/>
              <w:end w:w="120" w:type="dxa"/>
            </w:tcMar>
            <w:shd w:fill="F3F5F7"/>
          </w:tcPr>
          <w:p>
            <w:pPr>
              <w:spacing w:after="0"/>
            </w:pPr>
            <w:r/>
            <w:r>
              <w:rPr>
                <w:rFonts w:ascii="Aptos" w:hAnsi="Aptos"/>
                <w:b w:val="0"/>
                <w:color w:val="202B33"/>
                <w:sz w:val="15"/>
              </w:rPr>
              <w:t>Veri kalitesi hassasiyeti</w:t>
            </w:r>
          </w:p>
        </w:tc>
      </w:tr>
      <w:tr>
        <w:trPr>
          <w:cantSplit/>
        </w:trPr>
        <w:tc>
          <w:tcPr>
            <w:tcW w:type="dxa" w:w="1814"/>
            <w:vAlign w:val="center"/>
            <w:tcMar>
              <w:top w:w="100" w:type="dxa"/>
              <w:start w:w="120" w:type="dxa"/>
              <w:bottom w:w="100" w:type="dxa"/>
              <w:end w:w="120" w:type="dxa"/>
            </w:tcMar>
          </w:tcPr>
          <w:p>
            <w:pPr>
              <w:spacing w:after="0"/>
            </w:pPr>
            <w:r/>
            <w:r>
              <w:rPr>
                <w:rFonts w:ascii="Aptos" w:hAnsi="Aptos"/>
                <w:b w:val="0"/>
                <w:color w:val="202B33"/>
                <w:sz w:val="15"/>
              </w:rPr>
              <w:t>S6 — Alternatif referans</w:t>
            </w:r>
          </w:p>
        </w:tc>
        <w:tc>
          <w:tcPr>
            <w:tcW w:type="dxa" w:w="2891"/>
            <w:vAlign w:val="center"/>
            <w:tcMar>
              <w:top w:w="100" w:type="dxa"/>
              <w:start w:w="120" w:type="dxa"/>
              <w:bottom w:w="100" w:type="dxa"/>
              <w:end w:w="120" w:type="dxa"/>
            </w:tcMar>
          </w:tcPr>
          <w:p>
            <w:pPr>
              <w:spacing w:after="0"/>
            </w:pPr>
            <w:r/>
            <w:r>
              <w:rPr>
                <w:rFonts w:ascii="Aptos" w:hAnsi="Aptos"/>
                <w:b w:val="0"/>
                <w:color w:val="202B33"/>
                <w:sz w:val="15"/>
              </w:rPr>
              <w:t>13/26 hafta veya farklı eş dönem</w:t>
            </w:r>
          </w:p>
        </w:tc>
        <w:tc>
          <w:tcPr>
            <w:tcW w:type="dxa" w:w="2665"/>
            <w:vAlign w:val="center"/>
            <w:tcMar>
              <w:top w:w="100" w:type="dxa"/>
              <w:start w:w="120" w:type="dxa"/>
              <w:bottom w:w="100" w:type="dxa"/>
              <w:end w:w="120" w:type="dxa"/>
            </w:tcMar>
          </w:tcPr>
          <w:p>
            <w:pPr>
              <w:spacing w:after="0"/>
            </w:pPr>
            <w:r/>
            <w:r>
              <w:rPr>
                <w:rFonts w:ascii="Aptos" w:hAnsi="Aptos"/>
                <w:b w:val="0"/>
                <w:color w:val="202B33"/>
                <w:sz w:val="15"/>
              </w:rPr>
              <w:t>Referans pencere hassasiyeti</w:t>
            </w:r>
          </w:p>
        </w:tc>
        <w:tc>
          <w:tcPr>
            <w:tcW w:type="dxa" w:w="1871"/>
            <w:vAlign w:val="center"/>
            <w:tcMar>
              <w:top w:w="100" w:type="dxa"/>
              <w:start w:w="120" w:type="dxa"/>
              <w:bottom w:w="100" w:type="dxa"/>
              <w:end w:w="120" w:type="dxa"/>
            </w:tcMar>
          </w:tcPr>
          <w:p>
            <w:pPr>
              <w:spacing w:after="0"/>
            </w:pPr>
            <w:r/>
            <w:r>
              <w:rPr>
                <w:rFonts w:ascii="Aptos" w:hAnsi="Aptos"/>
                <w:b w:val="0"/>
                <w:color w:val="202B33"/>
                <w:sz w:val="15"/>
              </w:rPr>
              <w:t>Yöntem kararlılığı</w:t>
            </w:r>
          </w:p>
        </w:tc>
      </w:tr>
    </w:tbl>
    <w:p>
      <w:pPr>
        <w:spacing w:after="0"/>
      </w:pPr>
    </w:p>
    <w:p>
      <w:pPr>
        <w:pStyle w:val="Heading2"/>
      </w:pPr>
      <w:r>
        <w:t>9.5 Her simülasyonda yeniden çalışan hesap zinciri</w:t>
      </w:r>
    </w:p>
    <w:p>
      <w:r>
        <w:t>Simülasyon yalnızca toplam sonuca katsayı uygulamaz. Değişen varsayım, ilgili adımdan başlayarak bütün aşağı akış hesaplarını yeniden çalıştırır:</w:t>
      </w:r>
    </w:p>
    <w:p>
      <w:pPr>
        <w:pStyle w:val="ListBullet"/>
      </w:pPr>
      <w:r>
        <w:t>Düzeltilmiş net referans talep ve günlük hız hesaplanır.</w:t>
      </w:r>
    </w:p>
    <w:p>
      <w:pPr>
        <w:pStyle w:val="ListBullet"/>
      </w:pPr>
      <w:r>
        <w:t>Plan dönemi uzunluğuna normalize edilir ve simülasyona ait büyüme/daralma uygulanır.</w:t>
      </w:r>
    </w:p>
    <w:p>
      <w:pPr>
        <w:pStyle w:val="ListBullet"/>
      </w:pPr>
      <w:r>
        <w:t>Model-renk toplamı, simülasyona ait beden dağılım kuralıyla SKU'lara indirilir.</w:t>
      </w:r>
    </w:p>
    <w:p>
      <w:pPr>
        <w:pStyle w:val="ListBullet"/>
      </w:pPr>
      <w:r>
        <w:t>Aynı snapshot'taki offerable stok, simülasyon kuralına göre kullanılabilir havuza alınır.</w:t>
      </w:r>
    </w:p>
    <w:p>
      <w:pPr>
        <w:pStyle w:val="ListBullet"/>
      </w:pPr>
      <w:r>
        <w:t>Simülasyonda güvenilir kabul edilen ve plan dönemine yetişen gelecek arz düşülür.</w:t>
      </w:r>
    </w:p>
    <w:p>
      <w:pPr>
        <w:pStyle w:val="ListBullet"/>
      </w:pPr>
      <w:r>
        <w:t>Simülasyona ait safety stock eklenir.</w:t>
      </w:r>
    </w:p>
    <w:p>
      <w:pPr>
        <w:pStyle w:val="ListBullet"/>
      </w:pPr>
      <w:r>
        <w:t>Ham ihtiyaç SKU bazında yeniden hesaplanır; MOQ ve üretim katı ayrı ayrı uygulanır.</w:t>
      </w:r>
    </w:p>
    <w:p>
      <w:pPr>
        <w:pStyle w:val="ListBullet"/>
      </w:pPr>
      <w:r>
        <w:t>Kanal ve lokasyon alokasyonu yeniden yapılır; toplam üretimden türetilir.</w:t>
      </w:r>
    </w:p>
    <w:p>
      <w:pPr>
        <w:pStyle w:val="Heading2"/>
      </w:pPr>
      <w:r>
        <w:t>9.6 Simülasyon sonuçlarının karşılaştırılması</w:t>
      </w:r>
    </w:p>
    <w:p>
      <w:r>
        <w:t>Yalnız toplam üretim miktarını karşılaştırmak yeterli değildir. Aynı toplamın farklı beden ve kanal riskleri olabilir. Karşılaştırma hem portföy hem ürün/beden seviyesinde yapılmalıdır.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268"/>
            <w:vAlign w:val="center"/>
            <w:tcMar>
              <w:top w:w="100" w:type="dxa"/>
              <w:start w:w="120" w:type="dxa"/>
              <w:bottom w:w="100" w:type="dxa"/>
              <w:end w:w="120" w:type="dxa"/>
            </w:tcMar>
            <w:shd w:fill="17324D"/>
          </w:tcPr>
          <w:p>
            <w:pPr>
              <w:spacing w:after="0"/>
            </w:pPr>
            <w:r/>
            <w:r>
              <w:rPr>
                <w:rFonts w:ascii="Aptos" w:hAnsi="Aptos"/>
                <w:b/>
                <w:color w:val="FFFFFF"/>
                <w:sz w:val="16"/>
              </w:rPr>
              <w:t>Karşılaştırma ölçüsü</w:t>
            </w:r>
          </w:p>
        </w:tc>
        <w:tc>
          <w:tcPr>
            <w:tcW w:type="dxa" w:w="3685"/>
            <w:vAlign w:val="center"/>
            <w:tcMar>
              <w:top w:w="100" w:type="dxa"/>
              <w:start w:w="120" w:type="dxa"/>
              <w:bottom w:w="100" w:type="dxa"/>
              <w:end w:w="120" w:type="dxa"/>
            </w:tcMar>
            <w:shd w:fill="17324D"/>
          </w:tcPr>
          <w:p>
            <w:pPr>
              <w:spacing w:after="0"/>
            </w:pPr>
            <w:r/>
            <w:r>
              <w:rPr>
                <w:rFonts w:ascii="Aptos" w:hAnsi="Aptos"/>
                <w:b/>
                <w:color w:val="FFFFFF"/>
                <w:sz w:val="16"/>
              </w:rPr>
              <w:t>Ne anlatır?</w:t>
            </w:r>
          </w:p>
        </w:tc>
        <w:tc>
          <w:tcPr>
            <w:tcW w:type="dxa" w:w="3288"/>
            <w:vAlign w:val="center"/>
            <w:tcMar>
              <w:top w:w="100" w:type="dxa"/>
              <w:start w:w="120" w:type="dxa"/>
              <w:bottom w:w="100" w:type="dxa"/>
              <w:end w:w="120" w:type="dxa"/>
            </w:tcMar>
            <w:shd w:fill="17324D"/>
          </w:tcPr>
          <w:p>
            <w:pPr>
              <w:spacing w:after="0"/>
            </w:pPr>
            <w:r/>
            <w:r>
              <w:rPr>
                <w:rFonts w:ascii="Aptos" w:hAnsi="Aptos"/>
                <w:b/>
                <w:color w:val="FFFFFF"/>
                <w:sz w:val="16"/>
              </w:rPr>
              <w:t>Karar sorusu</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5"/>
              </w:rPr>
              <w:t>Planlanan net talep</w:t>
            </w:r>
          </w:p>
        </w:tc>
        <w:tc>
          <w:tcPr>
            <w:tcW w:type="dxa" w:w="3685"/>
            <w:vAlign w:val="center"/>
            <w:tcMar>
              <w:top w:w="100" w:type="dxa"/>
              <w:start w:w="120" w:type="dxa"/>
              <w:bottom w:w="100" w:type="dxa"/>
              <w:end w:w="120" w:type="dxa"/>
            </w:tcMar>
          </w:tcPr>
          <w:p>
            <w:pPr>
              <w:spacing w:after="0"/>
            </w:pPr>
            <w:r/>
            <w:r>
              <w:rPr>
                <w:rFonts w:ascii="Aptos" w:hAnsi="Aptos"/>
                <w:b w:val="0"/>
                <w:color w:val="202B33"/>
                <w:sz w:val="15"/>
              </w:rPr>
              <w:t>Varsayımların forecast üzerindeki etkisi</w:t>
            </w:r>
          </w:p>
        </w:tc>
        <w:tc>
          <w:tcPr>
            <w:tcW w:type="dxa" w:w="3288"/>
            <w:vAlign w:val="center"/>
            <w:tcMar>
              <w:top w:w="100" w:type="dxa"/>
              <w:start w:w="120" w:type="dxa"/>
              <w:bottom w:w="100" w:type="dxa"/>
              <w:end w:w="120" w:type="dxa"/>
            </w:tcMar>
          </w:tcPr>
          <w:p>
            <w:pPr>
              <w:spacing w:after="0"/>
            </w:pPr>
            <w:r/>
            <w:r>
              <w:rPr>
                <w:rFonts w:ascii="Aptos" w:hAnsi="Aptos"/>
                <w:b w:val="0"/>
                <w:color w:val="202B33"/>
                <w:sz w:val="15"/>
              </w:rPr>
              <w:t>Talep farkının kaynağı nedir?</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5"/>
              </w:rPr>
              <w:t>Ham üretim ihtiyacı</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5"/>
              </w:rPr>
              <w:t>Stok ve arz sonrası gerçek açık</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5"/>
              </w:rPr>
              <w:t>Forecast farkının ne kadarı mevcut arzla emiliyor?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5"/>
              </w:rPr>
              <w:t>MOQ sonrası üretim</w:t>
            </w:r>
          </w:p>
        </w:tc>
        <w:tc>
          <w:tcPr>
            <w:tcW w:type="dxa" w:w="3685"/>
            <w:vAlign w:val="center"/>
            <w:tcMar>
              <w:top w:w="100" w:type="dxa"/>
              <w:start w:w="120" w:type="dxa"/>
              <w:bottom w:w="100" w:type="dxa"/>
              <w:end w:w="120" w:type="dxa"/>
            </w:tcMar>
          </w:tcPr>
          <w:p>
            <w:pPr>
              <w:spacing w:after="0"/>
            </w:pPr>
            <w:r/>
            <w:r>
              <w:rPr>
                <w:rFonts w:ascii="Aptos" w:hAnsi="Aptos"/>
                <w:b w:val="0"/>
                <w:color w:val="202B33"/>
                <w:sz w:val="15"/>
              </w:rPr>
              <w:t>Operasyonel olarak uygulanabilir üretim</w:t>
            </w:r>
          </w:p>
        </w:tc>
        <w:tc>
          <w:tcPr>
            <w:tcW w:type="dxa" w:w="3288"/>
            <w:vAlign w:val="center"/>
            <w:tcMar>
              <w:top w:w="100" w:type="dxa"/>
              <w:start w:w="120" w:type="dxa"/>
              <w:bottom w:w="100" w:type="dxa"/>
              <w:end w:w="120" w:type="dxa"/>
            </w:tcMar>
          </w:tcPr>
          <w:p>
            <w:pPr>
              <w:spacing w:after="0"/>
            </w:pPr>
            <w:r/>
            <w:r>
              <w:rPr>
                <w:rFonts w:ascii="Aptos" w:hAnsi="Aptos"/>
                <w:b w:val="0"/>
                <w:color w:val="202B33"/>
                <w:sz w:val="15"/>
              </w:rPr>
              <w:t>Yuvarlama maliyeti ne kadar?</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5"/>
              </w:rPr>
              <w:t>Kritik/kırık beden sayısı</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5"/>
              </w:rPr>
              <w:t>Toplamın içindeki beden bulunurluk riski</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5"/>
              </w:rPr>
              <w:t>Hangi bedenler bütün senaryolarda kritik?</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5"/>
              </w:rPr>
              <w:t>Tahmini dönem sonu stok</w:t>
            </w:r>
          </w:p>
        </w:tc>
        <w:tc>
          <w:tcPr>
            <w:tcW w:type="dxa" w:w="3685"/>
            <w:vAlign w:val="center"/>
            <w:tcMar>
              <w:top w:w="100" w:type="dxa"/>
              <w:start w:w="120" w:type="dxa"/>
              <w:bottom w:w="100" w:type="dxa"/>
              <w:end w:w="120" w:type="dxa"/>
            </w:tcMar>
          </w:tcPr>
          <w:p>
            <w:pPr>
              <w:spacing w:after="0"/>
            </w:pPr>
            <w:r/>
            <w:r>
              <w:rPr>
                <w:rFonts w:ascii="Aptos" w:hAnsi="Aptos"/>
                <w:b w:val="0"/>
                <w:color w:val="202B33"/>
                <w:sz w:val="15"/>
              </w:rPr>
              <w:t>Üretim sonrası taşıma riski</w:t>
            </w:r>
          </w:p>
        </w:tc>
        <w:tc>
          <w:tcPr>
            <w:tcW w:type="dxa" w:w="3288"/>
            <w:vAlign w:val="center"/>
            <w:tcMar>
              <w:top w:w="100" w:type="dxa"/>
              <w:start w:w="120" w:type="dxa"/>
              <w:bottom w:w="100" w:type="dxa"/>
              <w:end w:w="120" w:type="dxa"/>
            </w:tcMar>
          </w:tcPr>
          <w:p>
            <w:pPr>
              <w:spacing w:after="0"/>
            </w:pPr>
            <w:r/>
            <w:r>
              <w:rPr>
                <w:rFonts w:ascii="Aptos" w:hAnsi="Aptos"/>
                <w:b w:val="0"/>
                <w:color w:val="202B33"/>
                <w:sz w:val="15"/>
              </w:rPr>
              <w:t>Yüksek senaryonun elde kalma riski nedir?</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5"/>
              </w:rPr>
              <w:t>Karşılanamayan talep</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5"/>
              </w:rPr>
              <w:t>Üretim/arz sınırı sonrası servis riski</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5"/>
              </w:rPr>
              <w:t>Hangi senaryoda yok satma sürüyor?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color w:val="202B33"/>
                <w:sz w:val="15"/>
              </w:rPr>
              <w:t>Riskli arza bağımlılık</w:t>
            </w:r>
          </w:p>
        </w:tc>
        <w:tc>
          <w:tcPr>
            <w:tcW w:type="dxa" w:w="3685"/>
            <w:vAlign w:val="center"/>
            <w:tcMar>
              <w:top w:w="100" w:type="dxa"/>
              <w:start w:w="120" w:type="dxa"/>
              <w:bottom w:w="100" w:type="dxa"/>
              <w:end w:w="120" w:type="dxa"/>
            </w:tcMar>
          </w:tcPr>
          <w:p>
            <w:pPr>
              <w:spacing w:after="0"/>
            </w:pPr>
            <w:r/>
            <w:r>
              <w:rPr>
                <w:rFonts w:ascii="Aptos" w:hAnsi="Aptos"/>
                <w:b w:val="0"/>
                <w:color w:val="202B33"/>
                <w:sz w:val="15"/>
              </w:rPr>
              <w:t>Planın gecikebilecek arzla ne kadar kapandığı</w:t>
            </w:r>
          </w:p>
        </w:tc>
        <w:tc>
          <w:tcPr>
            <w:tcW w:type="dxa" w:w="3288"/>
            <w:vAlign w:val="center"/>
            <w:tcMar>
              <w:top w:w="100" w:type="dxa"/>
              <w:start w:w="120" w:type="dxa"/>
              <w:bottom w:w="100" w:type="dxa"/>
              <w:end w:w="120" w:type="dxa"/>
            </w:tcMar>
          </w:tcPr>
          <w:p>
            <w:pPr>
              <w:spacing w:after="0"/>
            </w:pPr>
            <w:r/>
            <w:r>
              <w:rPr>
                <w:rFonts w:ascii="Aptos" w:hAnsi="Aptos"/>
                <w:b w:val="0"/>
                <w:color w:val="202B33"/>
                <w:sz w:val="15"/>
              </w:rPr>
              <w:t>Inbound/WO gecikirse plan bozuluyor mu?</w:t>
            </w:r>
          </w:p>
        </w:tc>
      </w:tr>
      <w:tr>
        <w:trPr>
          <w:cantSplit/>
        </w:trPr>
        <w:tc>
          <w:tcPr>
            <w:tcW w:type="dxa" w:w="2268"/>
            <w:vAlign w:val="center"/>
            <w:tcMar>
              <w:top w:w="100" w:type="dxa"/>
              <w:start w:w="120" w:type="dxa"/>
              <w:bottom w:w="100" w:type="dxa"/>
              <w:end w:w="120" w:type="dxa"/>
            </w:tcMar>
            <w:shd w:fill="F3F5F7"/>
          </w:tcPr>
          <w:p>
            <w:pPr>
              <w:spacing w:after="0"/>
            </w:pPr>
            <w:r/>
            <w:r>
              <w:rPr>
                <w:rFonts w:ascii="Aptos" w:hAnsi="Aptos"/>
                <w:b w:val="0"/>
                <w:color w:val="202B33"/>
                <w:sz w:val="15"/>
              </w:rPr>
              <w:t>Baz plana fark</w:t>
            </w:r>
          </w:p>
        </w:tc>
        <w:tc>
          <w:tcPr>
            <w:tcW w:type="dxa" w:w="3685"/>
            <w:vAlign w:val="center"/>
            <w:tcMar>
              <w:top w:w="100" w:type="dxa"/>
              <w:start w:w="120" w:type="dxa"/>
              <w:bottom w:w="100" w:type="dxa"/>
              <w:end w:w="120" w:type="dxa"/>
            </w:tcMar>
            <w:shd w:fill="F3F5F7"/>
          </w:tcPr>
          <w:p>
            <w:pPr>
              <w:spacing w:after="0"/>
            </w:pPr>
            <w:r/>
            <w:r>
              <w:rPr>
                <w:rFonts w:ascii="Aptos" w:hAnsi="Aptos"/>
                <w:b w:val="0"/>
                <w:color w:val="202B33"/>
                <w:sz w:val="15"/>
              </w:rPr>
              <w:t>Adet ve yüzde sapma</w:t>
            </w:r>
          </w:p>
        </w:tc>
        <w:tc>
          <w:tcPr>
            <w:tcW w:type="dxa" w:w="3288"/>
            <w:vAlign w:val="center"/>
            <w:tcMar>
              <w:top w:w="100" w:type="dxa"/>
              <w:start w:w="120" w:type="dxa"/>
              <w:bottom w:w="100" w:type="dxa"/>
              <w:end w:w="120" w:type="dxa"/>
            </w:tcMar>
            <w:shd w:fill="F3F5F7"/>
          </w:tcPr>
          <w:p>
            <w:pPr>
              <w:spacing w:after="0"/>
            </w:pPr>
            <w:r/>
            <w:r>
              <w:rPr>
                <w:rFonts w:ascii="Aptos" w:hAnsi="Aptos"/>
                <w:b w:val="0"/>
                <w:color w:val="202B33"/>
                <w:sz w:val="15"/>
              </w:rPr>
              <w:t>Yönetim hangi ek riski/maliyeti seçiyor?</w:t>
            </w:r>
          </w:p>
        </w:tc>
      </w:tr>
    </w:tbl>
    <w:p>
      <w:pPr>
        <w:spacing w:after="0"/>
      </w:pPr>
    </w:p>
    <w:p>
      <w:pPr>
        <w:pStyle w:val="Heading2"/>
      </w:pPr>
      <w:r>
        <w:t>9.7 Simülasyon örneği</w:t>
      </w:r>
    </w:p>
    <w:p>
      <w:r>
        <w:t>Aşağıdaki örnek aynı ürün kümesi, aynı stok snapshot'ı ve aynı iş kuralı sürümünde yalnız plan varsayımlarının değiştiğini varsayar. Rakamlar yöntemi anlatmak için temsili verilmiştir.</w:t>
      </w:r>
    </w:p>
    <w:tbl>
      <w:tblPr>
        <w:tblStyle w:val="TableGrid"/>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trPr>
        <w:tc>
          <w:tcPr>
            <w:tcW w:type="dxa" w:w="2438"/>
            <w:vAlign w:val="center"/>
            <w:tcMar>
              <w:top w:w="100" w:type="dxa"/>
              <w:start w:w="120" w:type="dxa"/>
              <w:bottom w:w="100" w:type="dxa"/>
              <w:end w:w="120" w:type="dxa"/>
            </w:tcMar>
            <w:shd w:fill="17324D"/>
          </w:tcPr>
          <w:p>
            <w:pPr>
              <w:spacing w:after="0"/>
            </w:pPr>
            <w:r/>
            <w:r>
              <w:rPr>
                <w:rFonts w:ascii="Aptos" w:hAnsi="Aptos"/>
                <w:b/>
                <w:color w:val="FFFFFF"/>
                <w:sz w:val="16"/>
              </w:rPr>
              <w:t>Ölçü</w:t>
            </w:r>
          </w:p>
        </w:tc>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Düşük</w:t>
            </w:r>
          </w:p>
        </w:tc>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Baz</w:t>
            </w:r>
          </w:p>
        </w:tc>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Yüksek</w:t>
            </w:r>
          </w:p>
        </w:tc>
        <w:tc>
          <w:tcPr>
            <w:tcW w:type="dxa" w:w="1701"/>
            <w:vAlign w:val="center"/>
            <w:tcMar>
              <w:top w:w="100" w:type="dxa"/>
              <w:start w:w="120" w:type="dxa"/>
              <w:bottom w:w="100" w:type="dxa"/>
              <w:end w:w="120" w:type="dxa"/>
            </w:tcMar>
            <w:shd w:fill="17324D"/>
          </w:tcPr>
          <w:p>
            <w:pPr>
              <w:spacing w:after="0"/>
            </w:pPr>
            <w:r/>
            <w:r>
              <w:rPr>
                <w:rFonts w:ascii="Aptos" w:hAnsi="Aptos"/>
                <w:b/>
                <w:color w:val="FFFFFF"/>
                <w:sz w:val="16"/>
              </w:rPr>
              <w:t>Arz gecikmesi</w:t>
            </w:r>
          </w:p>
        </w:tc>
      </w:tr>
      <w:tr>
        <w:trPr>
          <w:cantSplit/>
        </w:trPr>
        <w:tc>
          <w:tcPr>
            <w:tcW w:type="dxa" w:w="2438"/>
            <w:vAlign w:val="center"/>
            <w:tcMar>
              <w:top w:w="100" w:type="dxa"/>
              <w:start w:w="120" w:type="dxa"/>
              <w:bottom w:w="100" w:type="dxa"/>
              <w:end w:w="120" w:type="dxa"/>
            </w:tcMar>
          </w:tcPr>
          <w:p>
            <w:pPr>
              <w:spacing w:after="0"/>
            </w:pPr>
            <w:r/>
            <w:r>
              <w:rPr>
                <w:rFonts w:ascii="Aptos" w:hAnsi="Aptos"/>
                <w:b w:val="0"/>
                <w:color w:val="202B33"/>
                <w:sz w:val="16"/>
              </w:rPr>
              <w:t>Büyüme katsayısı</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0,95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1,05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1,15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1,05</w:t>
            </w:r>
          </w:p>
        </w:tc>
      </w:tr>
      <w:tr>
        <w:trPr>
          <w:cantSplit/>
        </w:trPr>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Safety stock</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0</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12</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24</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12</w:t>
            </w:r>
          </w:p>
        </w:tc>
      </w:tr>
      <w:tr>
        <w:trPr>
          <w:cantSplit/>
        </w:trPr>
        <w:tc>
          <w:tcPr>
            <w:tcW w:type="dxa" w:w="2438"/>
            <w:vAlign w:val="center"/>
            <w:tcMar>
              <w:top w:w="100" w:type="dxa"/>
              <w:start w:w="120" w:type="dxa"/>
              <w:bottom w:w="100" w:type="dxa"/>
              <w:end w:w="120" w:type="dxa"/>
            </w:tcMar>
          </w:tcPr>
          <w:p>
            <w:pPr>
              <w:spacing w:after="0"/>
            </w:pPr>
            <w:r/>
            <w:r>
              <w:rPr>
                <w:rFonts w:ascii="Aptos" w:hAnsi="Aptos"/>
                <w:b w:val="0"/>
                <w:color w:val="202B33"/>
                <w:sz w:val="16"/>
              </w:rPr>
              <w:t>Riskli inbound</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Dahil</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Dahil</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Dahil</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Hariç</w:t>
            </w:r>
          </w:p>
        </w:tc>
      </w:tr>
      <w:tr>
        <w:trPr>
          <w:cantSplit/>
        </w:trPr>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Planlanan net talep</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239</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264</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289</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264</w:t>
            </w:r>
          </w:p>
        </w:tc>
      </w:tr>
      <w:tr>
        <w:trPr>
          <w:cantSplit/>
        </w:trPr>
        <w:tc>
          <w:tcPr>
            <w:tcW w:type="dxa" w:w="2438"/>
            <w:vAlign w:val="center"/>
            <w:tcMar>
              <w:top w:w="100" w:type="dxa"/>
              <w:start w:w="120" w:type="dxa"/>
              <w:bottom w:w="100" w:type="dxa"/>
              <w:end w:w="120" w:type="dxa"/>
            </w:tcMar>
          </w:tcPr>
          <w:p>
            <w:pPr>
              <w:spacing w:after="0"/>
            </w:pPr>
            <w:r/>
            <w:r>
              <w:rPr>
                <w:rFonts w:ascii="Aptos" w:hAnsi="Aptos"/>
                <w:b w:val="0"/>
                <w:color w:val="202B33"/>
                <w:sz w:val="16"/>
              </w:rPr>
              <w:t>Kullanılabilir arz</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135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135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135</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112</w:t>
            </w:r>
          </w:p>
        </w:tc>
      </w:tr>
      <w:tr>
        <w:trPr>
          <w:cantSplit/>
        </w:trPr>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Ham ihtiyaç</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104</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141</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178</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164</w:t>
            </w:r>
          </w:p>
        </w:tc>
      </w:tr>
      <w:tr>
        <w:trPr>
          <w:cantSplit/>
        </w:trPr>
        <w:tc>
          <w:tcPr>
            <w:tcW w:type="dxa" w:w="2438"/>
            <w:vAlign w:val="center"/>
            <w:tcMar>
              <w:top w:w="100" w:type="dxa"/>
              <w:start w:w="120" w:type="dxa"/>
              <w:bottom w:w="100" w:type="dxa"/>
              <w:end w:w="120" w:type="dxa"/>
            </w:tcMar>
          </w:tcPr>
          <w:p>
            <w:pPr>
              <w:spacing w:after="0"/>
            </w:pPr>
            <w:r/>
            <w:r>
              <w:rPr>
                <w:rFonts w:ascii="Aptos" w:hAnsi="Aptos"/>
                <w:b w:val="0"/>
                <w:color w:val="202B33"/>
                <w:sz w:val="16"/>
              </w:rPr>
              <w:t>MOQ/kat sonrası üretim</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120</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150</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186</w:t>
            </w:r>
          </w:p>
        </w:tc>
        <w:tc>
          <w:tcPr>
            <w:tcW w:type="dxa" w:w="1701"/>
            <w:vAlign w:val="center"/>
            <w:tcMar>
              <w:top w:w="100" w:type="dxa"/>
              <w:start w:w="120" w:type="dxa"/>
              <w:bottom w:w="100" w:type="dxa"/>
              <w:end w:w="120" w:type="dxa"/>
            </w:tcMar>
          </w:tcPr>
          <w:p>
            <w:pPr>
              <w:spacing w:after="0"/>
            </w:pPr>
            <w:r/>
            <w:r>
              <w:rPr>
                <w:rFonts w:ascii="Aptos" w:hAnsi="Aptos"/>
                <w:b w:val="0"/>
                <w:color w:val="202B33"/>
                <w:sz w:val="16"/>
              </w:rPr>
              <w:t>174</w:t>
            </w:r>
          </w:p>
        </w:tc>
      </w:tr>
      <w:tr>
        <w:trPr>
          <w:cantSplit/>
        </w:trPr>
        <w:tc>
          <w:tcPr>
            <w:tcW w:type="dxa" w:w="2438"/>
            <w:vAlign w:val="center"/>
            <w:tcMar>
              <w:top w:w="100" w:type="dxa"/>
              <w:start w:w="120" w:type="dxa"/>
              <w:bottom w:w="100" w:type="dxa"/>
              <w:end w:w="120" w:type="dxa"/>
            </w:tcMar>
            <w:shd w:fill="F3F5F7"/>
          </w:tcPr>
          <w:p>
            <w:pPr>
              <w:spacing w:after="0"/>
            </w:pPr>
            <w:r/>
            <w:r>
              <w:rPr>
                <w:rFonts w:ascii="Aptos" w:hAnsi="Aptos"/>
                <w:b w:val="0"/>
                <w:color w:val="202B33"/>
                <w:sz w:val="16"/>
              </w:rPr>
              <w:t>Kritik beden</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4</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6</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8</w:t>
            </w:r>
          </w:p>
        </w:tc>
        <w:tc>
          <w:tcPr>
            <w:tcW w:type="dxa" w:w="1701"/>
            <w:vAlign w:val="center"/>
            <w:tcMar>
              <w:top w:w="100" w:type="dxa"/>
              <w:start w:w="120" w:type="dxa"/>
              <w:bottom w:w="100" w:type="dxa"/>
              <w:end w:w="120" w:type="dxa"/>
            </w:tcMar>
            <w:shd w:fill="F3F5F7"/>
          </w:tcPr>
          <w:p>
            <w:pPr>
              <w:spacing w:after="0"/>
            </w:pPr>
            <w:r/>
            <w:r>
              <w:rPr>
                <w:rFonts w:ascii="Aptos" w:hAnsi="Aptos"/>
                <w:b w:val="0"/>
                <w:color w:val="202B33"/>
                <w:sz w:val="16"/>
              </w:rPr>
              <w:t>7</w:t>
            </w:r>
          </w:p>
        </w:tc>
      </w:tr>
    </w:tbl>
    <w:p>
      <w:pPr>
        <w:spacing w:after="0"/>
      </w:pPr>
    </w:p>
    <w:p>
      <w:r>
        <w:t>Örnekte baz ve arz gecikmesi simülasyonlarının talebi aynıdır; üretim farkı yalnızca 23 adet riskli arzın hariç tutulmasından doğar. Böylece yönetim, daha yüksek üretimin “daha yüksek satış beklentisi” değil “tedarik gecikmesine karşı koruma” olduğunu doğru yorumlar.</w:t>
      </w:r>
    </w:p>
    <w:p>
      <w:pPr>
        <w:pStyle w:val="Heading2"/>
      </w:pPr>
      <w:r>
        <w:t>9.8 Baz simülasyon nasıl seçilir?</w:t>
      </w:r>
    </w:p>
    <w:p>
      <w:r>
        <w:t>Baz plan otomatik olarak en düşük, en yüksek veya ortalama sonuç değildir. Seçim aşağıdaki sırayla yapılmalıdır:</w:t>
      </w:r>
    </w:p>
    <w:p>
      <w:pPr>
        <w:pStyle w:val="ListBullet"/>
      </w:pPr>
      <w:r>
        <w:t>Veri kalitesi geçer mi? Eksik eşleme veya kritik stockout varsa önce istisna çözülür.</w:t>
      </w:r>
    </w:p>
    <w:p>
      <w:pPr>
        <w:pStyle w:val="ListBullet"/>
      </w:pPr>
      <w:r>
        <w:t>Varsayımlar iş sahibi tarafından açıklanabilir ve onaylı mı? Kaynağı olmayan katsayı kullanılmaz.</w:t>
      </w:r>
    </w:p>
    <w:p>
      <w:pPr>
        <w:pStyle w:val="ListBullet"/>
      </w:pPr>
      <w:r>
        <w:t>Simülasyon geçmiş backtest'te kabul edilen WAPE ve bias sınırında mı?</w:t>
      </w:r>
    </w:p>
    <w:p>
      <w:pPr>
        <w:pStyle w:val="ListBullet"/>
      </w:pPr>
      <w:r>
        <w:t>Beden ve kanal seviyesinde servis riski kabul edilebilir mi?</w:t>
      </w:r>
    </w:p>
    <w:p>
      <w:pPr>
        <w:pStyle w:val="ListBullet"/>
      </w:pPr>
      <w:r>
        <w:t>MOQ sonrası oluşan fazla üretim ve dönem sonu stok riski ekonomik olarak kabul edilebilir mi?</w:t>
      </w:r>
    </w:p>
    <w:p>
      <w:pPr>
        <w:pStyle w:val="ListBullet"/>
      </w:pPr>
      <w:r>
        <w:t>Riskli arza bağımlılık ve lead time uygulanabilir mi?</w:t>
      </w:r>
    </w:p>
    <w:p>
      <w:pPr>
        <w:pStyle w:val="ListBullet"/>
      </w:pPr>
      <w:r>
        <w:t>Seçim gerekçesi, seçen kullanıcı, tarih ve alternatiflere fark kayıt altına alınır.</w:t>
      </w:r>
    </w:p>
    <w:p>
      <w:pPr>
        <w:pStyle w:val="Heading2"/>
      </w:pPr>
      <w:r>
        <w:t>9.9 Simülasyon karşılaştırmasında yapılmaması gerekenler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891"/>
            <w:vAlign w:val="center"/>
            <w:tcMar>
              <w:top w:w="100" w:type="dxa"/>
              <w:start w:w="120" w:type="dxa"/>
              <w:bottom w:w="100" w:type="dxa"/>
              <w:end w:w="120" w:type="dxa"/>
            </w:tcMar>
            <w:shd w:fill="17324D"/>
          </w:tcPr>
          <w:p>
            <w:pPr>
              <w:spacing w:after="0"/>
            </w:pPr>
            <w:r/>
            <w:r>
              <w:rPr>
                <w:rFonts w:ascii="Aptos" w:hAnsi="Aptos"/>
                <w:b/>
                <w:color w:val="FFFFFF"/>
                <w:sz w:val="16"/>
              </w:rPr>
              <w:t>Yanlış uygulama</w:t>
            </w:r>
          </w:p>
        </w:tc>
        <w:tc>
          <w:tcPr>
            <w:tcW w:type="dxa" w:w="3175"/>
            <w:vAlign w:val="center"/>
            <w:tcMar>
              <w:top w:w="100" w:type="dxa"/>
              <w:start w:w="120" w:type="dxa"/>
              <w:bottom w:w="100" w:type="dxa"/>
              <w:end w:w="120" w:type="dxa"/>
            </w:tcMar>
            <w:shd w:fill="17324D"/>
          </w:tcPr>
          <w:p>
            <w:pPr>
              <w:spacing w:after="0"/>
            </w:pPr>
            <w:r/>
            <w:r>
              <w:rPr>
                <w:rFonts w:ascii="Aptos" w:hAnsi="Aptos"/>
                <w:b/>
                <w:color w:val="FFFFFF"/>
                <w:sz w:val="16"/>
              </w:rPr>
              <w:t>Neden yanlış?</w:t>
            </w:r>
          </w:p>
        </w:tc>
        <w:tc>
          <w:tcPr>
            <w:tcW w:type="dxa" w:w="3175"/>
            <w:vAlign w:val="center"/>
            <w:tcMar>
              <w:top w:w="100" w:type="dxa"/>
              <w:start w:w="120" w:type="dxa"/>
              <w:bottom w:w="100" w:type="dxa"/>
              <w:end w:w="120" w:type="dxa"/>
            </w:tcMar>
            <w:shd w:fill="17324D"/>
          </w:tcPr>
          <w:p>
            <w:pPr>
              <w:spacing w:after="0"/>
            </w:pPr>
            <w:r/>
            <w:r>
              <w:rPr>
                <w:rFonts w:ascii="Aptos" w:hAnsi="Aptos"/>
                <w:b/>
                <w:color w:val="FFFFFF"/>
                <w:sz w:val="16"/>
              </w:rPr>
              <w:t>Doğru yaklaşım</w:t>
            </w:r>
          </w:p>
        </w:tc>
      </w:tr>
      <w:tr>
        <w:trPr>
          <w:cantSplit/>
        </w:trPr>
        <w:tc>
          <w:tcPr>
            <w:tcW w:type="dxa" w:w="2891"/>
            <w:vAlign w:val="center"/>
            <w:tcMar>
              <w:top w:w="100" w:type="dxa"/>
              <w:start w:w="120" w:type="dxa"/>
              <w:bottom w:w="100" w:type="dxa"/>
              <w:end w:w="120" w:type="dxa"/>
            </w:tcMar>
          </w:tcPr>
          <w:p>
            <w:pPr>
              <w:spacing w:after="0"/>
            </w:pPr>
            <w:r/>
            <w:r>
              <w:rPr>
                <w:rFonts w:ascii="Aptos" w:hAnsi="Aptos"/>
                <w:b w:val="0"/>
                <w:color w:val="202B33"/>
                <w:sz w:val="15"/>
              </w:rPr>
              <w:t>Farklı stok tarihlerindeki sonuçları senaryo gibi karşılaştırmak</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Veri ve varsayım etkisi karışır</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Aynı frozen snapshot kullan</w:t>
            </w:r>
          </w:p>
        </w:tc>
      </w:tr>
      <w:tr>
        <w:trPr>
          <w:cantSplit/>
        </w:trPr>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Toplam üretimi tek KPI yapmak</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Beden ve kanal riskini gizler</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SKU/beden ve servis etkisini birlikte göster</w:t>
            </w:r>
          </w:p>
        </w:tc>
      </w:tr>
      <w:tr>
        <w:trPr>
          <w:cantSplit/>
        </w:trPr>
        <w:tc>
          <w:tcPr>
            <w:tcW w:type="dxa" w:w="2891"/>
            <w:vAlign w:val="center"/>
            <w:tcMar>
              <w:top w:w="100" w:type="dxa"/>
              <w:start w:w="120" w:type="dxa"/>
              <w:bottom w:w="100" w:type="dxa"/>
              <w:end w:w="120" w:type="dxa"/>
            </w:tcMar>
          </w:tcPr>
          <w:p>
            <w:pPr>
              <w:spacing w:after="0"/>
            </w:pPr>
            <w:r/>
            <w:r>
              <w:rPr>
                <w:rFonts w:ascii="Aptos" w:hAnsi="Aptos"/>
                <w:b w:val="0"/>
                <w:color w:val="202B33"/>
                <w:sz w:val="15"/>
              </w:rPr>
              <w:t>Büyüme katsayısını stok açığını kapatmak için değiştirmek</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Talep varsayımı arz problemine göre çarpıtılır</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Talep ve arz senaryolarını ayrı değişken tut</w:t>
            </w:r>
          </w:p>
        </w:tc>
      </w:tr>
      <w:tr>
        <w:trPr>
          <w:cantSplit/>
        </w:trPr>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MOQ farkını forecast hatası sanmak</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Forecast ile operasyonel yuvarlama farklıdır</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Ham ihtiyaç ve nihai üretimi ayrı raporla</w:t>
            </w:r>
          </w:p>
        </w:tc>
      </w:tr>
      <w:tr>
        <w:trPr>
          <w:cantSplit/>
        </w:trPr>
        <w:tc>
          <w:tcPr>
            <w:tcW w:type="dxa" w:w="2891"/>
            <w:vAlign w:val="center"/>
            <w:tcMar>
              <w:top w:w="100" w:type="dxa"/>
              <w:start w:w="120" w:type="dxa"/>
              <w:bottom w:w="100" w:type="dxa"/>
              <w:end w:w="120" w:type="dxa"/>
            </w:tcMar>
          </w:tcPr>
          <w:p>
            <w:pPr>
              <w:spacing w:after="0"/>
            </w:pPr>
            <w:r/>
            <w:r>
              <w:rPr>
                <w:rFonts w:ascii="Aptos" w:hAnsi="Aptos"/>
                <w:b w:val="0"/>
                <w:color w:val="202B33"/>
                <w:sz w:val="15"/>
              </w:rPr>
              <w:t>En yüksek senaryoyu güvenli kabul etmek</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Yok satmayı azaltırken elde kalmayı büyütebilir</w:t>
            </w:r>
          </w:p>
        </w:tc>
        <w:tc>
          <w:tcPr>
            <w:tcW w:type="dxa" w:w="3175"/>
            <w:vAlign w:val="center"/>
            <w:tcMar>
              <w:top w:w="100" w:type="dxa"/>
              <w:start w:w="120" w:type="dxa"/>
              <w:bottom w:w="100" w:type="dxa"/>
              <w:end w:w="120" w:type="dxa"/>
            </w:tcMar>
          </w:tcPr>
          <w:p>
            <w:pPr>
              <w:spacing w:after="0"/>
            </w:pPr>
            <w:r/>
            <w:r>
              <w:rPr>
                <w:rFonts w:ascii="Aptos" w:hAnsi="Aptos"/>
                <w:b w:val="0"/>
                <w:color w:val="202B33"/>
                <w:sz w:val="15"/>
              </w:rPr>
              <w:t>Servis ve stok maliyetini birlikte değerlendir</w:t>
            </w:r>
          </w:p>
        </w:tc>
      </w:tr>
      <w:tr>
        <w:trPr>
          <w:cantSplit/>
        </w:trPr>
        <w:tc>
          <w:tcPr>
            <w:tcW w:type="dxa" w:w="2891"/>
            <w:vAlign w:val="center"/>
            <w:tcMar>
              <w:top w:w="100" w:type="dxa"/>
              <w:start w:w="120" w:type="dxa"/>
              <w:bottom w:w="100" w:type="dxa"/>
              <w:end w:w="120" w:type="dxa"/>
            </w:tcMar>
            <w:shd w:fill="F3F5F7"/>
          </w:tcPr>
          <w:p>
            <w:pPr>
              <w:spacing w:after="0"/>
            </w:pPr>
            <w:r/>
            <w:r>
              <w:rPr>
                <w:rFonts w:ascii="Aptos" w:hAnsi="Aptos"/>
                <w:b w:val="0"/>
                <w:color w:val="202B33"/>
                <w:sz w:val="15"/>
              </w:rPr>
              <w:t>Simülasyon sayısını sınırsız artırmak</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Karar netliği kaybolur</w:t>
            </w:r>
          </w:p>
        </w:tc>
        <w:tc>
          <w:tcPr>
            <w:tcW w:type="dxa" w:w="3175"/>
            <w:vAlign w:val="center"/>
            <w:tcMar>
              <w:top w:w="100" w:type="dxa"/>
              <w:start w:w="120" w:type="dxa"/>
              <w:bottom w:w="100" w:type="dxa"/>
              <w:end w:w="120" w:type="dxa"/>
            </w:tcMar>
            <w:shd w:fill="F3F5F7"/>
          </w:tcPr>
          <w:p>
            <w:pPr>
              <w:spacing w:after="0"/>
            </w:pPr>
            <w:r/>
            <w:r>
              <w:rPr>
                <w:rFonts w:ascii="Aptos" w:hAnsi="Aptos"/>
                <w:b w:val="0"/>
                <w:color w:val="202B33"/>
                <w:sz w:val="15"/>
              </w:rPr>
              <w:t>Standart set + gerekçeli özel senaryo kullan</w:t>
            </w:r>
          </w:p>
        </w:tc>
      </w:tr>
    </w:tbl>
    <w:p>
      <w:pPr>
        <w:spacing w:after="0"/>
      </w:pPr>
    </w:p>
    <w:p>
      <w:pPr>
        <w:pStyle w:val="Heading2"/>
      </w:pPr>
      <w:r>
        <w:t>9.10 Simülasyonların saklanması ve izlenebilirliği</w:t>
      </w:r>
    </w:p>
    <w:p>
      <w:r>
        <w:t>Her simülasyon benzersiz kimlik ve sürüm taşımalıdır. Simülasyon grubu aynı frozen input'u paylaşır; her üye kendi referans dönemi, büyüme, safety stock, stockout/iade yaklaşımı, beden kuralı ve arz güveni varsayımlarını saklar. Sonuçların yanında hesap izi, istisnalar, oluşturan kullanıcı ve zaman tutulur. Baz plan seçildiğinde seçilen simülasyon değişmeden korunur; sonraki revizyon yeni sürüm olur. Böylece “hangi sayı neden onaylandı?” sorusu sonradan cevaplanabilir.</w:t>
      </w: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Çoklu simülasyonun karar değeri</w:t>
            </w:r>
          </w:p>
          <w:p>
            <w:pPr>
              <w:spacing w:after="0"/>
            </w:pPr>
            <w:r>
              <w:t>Amaç çok sayıda rakam üretmek değil; talep, arz ve risk varsayımlarını birbirinden ayırarak kararın hangi koşulda değiştiğini göstermek ve seçilen üretim planının gerekçesini görünür kılmaktır.</w:t>
            </w:r>
          </w:p>
        </w:tc>
      </w:tr>
    </w:tbl>
    <w:p>
      <w:pPr>
        <w:spacing w:after="0"/>
      </w:pPr>
    </w:p>
    <w:sectPr w:rsidR="00FC693F" w:rsidRPr="0006063C" w:rsidSect="00034616">
      <w:headerReference w:type="default" r:id="rId9"/>
      <w:footerReference w:type="default" r:id="rId10"/>
      <w:pgSz w:w="12240" w:h="15840"/>
      <w:pgMar w:top="1020" w:right="1134" w:bottom="964" w:left="1191" w:header="720" w:footer="720" w:gutter="0"/>
      <w:cols w:space="720"/>
      <w:docGrid w:linePitch="360"/>
    </w:sectPr>
    <w:p>
      <w:pPr>
        <w:pStyle w:val="Heading1"/>
      </w:pPr>
      <w:r>
        <w:t>10. İlk faz sınırları</w:t>
      </w:r>
    </w:p>
    <w:p>
      <w:pPr>
        <w:pStyle w:val="ListBullet"/>
      </w:pPr>
      <w:r>
        <w:t>Bir yıllık veriden güvenilir çok-sezonlu model sonucu iddia edilmez.</w:t>
      </w:r>
    </w:p>
    <w:p>
      <w:pPr>
        <w:pStyle w:val="ListBullet"/>
      </w:pPr>
      <w:r>
        <w:t>Geçmişsiz ve benzer ürünü bulunmayan yeni SKU için otomatik üretim yerine NEW_ITEM_REVIEW üretilir.</w:t>
      </w:r>
    </w:p>
    <w:p>
      <w:pPr>
        <w:pStyle w:val="ListBullet"/>
      </w:pPr>
      <w:r>
        <w:t>Stockout ilk fazda mutlaka işaretlenir; imputasyon yöntemi yeterli veri oluşunca backtest ile seçilir.</w:t>
      </w:r>
    </w:p>
    <w:p>
      <w:pPr>
        <w:pStyle w:val="ListBullet"/>
      </w:pPr>
      <w:r>
        <w:t>Makine öğrenmesi doğrudan üretim emri vermez; önce challenger olarak ölçülür.</w:t>
      </w:r>
    </w:p>
    <w:p>
      <w:pPr>
        <w:pStyle w:val="ListBullet"/>
      </w:pPr>
      <w:r>
        <w:t>Detaylı fabrika kapasite çizelgelemesi, hat/operatör optimizasyonu ve ham madde MRP ayrı bir planlama katmanıdır.</w:t>
      </w:r>
    </w:p>
    <w:p>
      <w:pPr>
        <w:pStyle w:val="ListBullet"/>
      </w:pPr>
      <w:r>
        <w:t>Sonuç kalitesi ürün eşleme, stok statüsü, iade niteliği ve açık arz tarihlerinin doğruluğuna bağlıdır.</w:t>
      </w:r>
    </w:p>
    <w:p>
      <w:pPr>
        <w:pStyle w:val="Heading1"/>
      </w:pPr>
      <w:r>
        <w:t>11. Uygulama ve doğrulama sırası</w:t>
      </w:r>
    </w:p>
    <w:p>
      <w:pPr>
        <w:pStyle w:val="ListNumber"/>
      </w:pPr>
      <w:r>
        <w:t>Eski-yeni ürün eşleme tablosunu kur ve örnek ürünlerde iş birimi onayı al.</w:t>
      </w:r>
    </w:p>
    <w:p>
      <w:pPr>
        <w:pStyle w:val="ListNumber"/>
      </w:pPr>
      <w:r>
        <w:t>Brüt satış, iade, offerable stok ve açık arzı NetSuite kontrol raporlarıyla mutabık hale getir.</w:t>
      </w:r>
    </w:p>
    <w:p>
      <w:pPr>
        <w:pStyle w:val="ListNumber"/>
      </w:pPr>
      <w:r>
        <w:t>Carryover ürünlerde geçen yılın aynı ticari dönemini ana referans olarak çalıştır.</w:t>
      </w:r>
    </w:p>
    <w:p>
      <w:pPr>
        <w:pStyle w:val="ListNumber"/>
      </w:pPr>
      <w:r>
        <w:t>Model-renk tahminini beden eğrisiyle SKU'ya indir; seyrek bedenleri ürün ailesiyle yumuşat.</w:t>
      </w:r>
    </w:p>
    <w:p>
      <w:pPr>
        <w:pStyle w:val="ListNumber"/>
      </w:pPr>
      <w:r>
        <w:t>8/13/26 hafta Moving Average ile Linear Regression'ı kontrol/challenger olarak paralel hesapla.</w:t>
      </w:r>
    </w:p>
    <w:p>
      <w:pPr>
        <w:pStyle w:val="ListNumber"/>
      </w:pPr>
      <w:r>
        <w:t>Stockout, kampanya, iade ve eşleme istisnalarını planner'a görünür kıl.</w:t>
      </w:r>
    </w:p>
    <w:p>
      <w:pPr>
        <w:pStyle w:val="ListNumber"/>
      </w:pPr>
      <w:r>
        <w:t>Düşük/baz/yüksek senaryoyu stok, arz, safety stock, MOQ ve katla üretim kararına dönüştür.</w:t>
      </w:r>
    </w:p>
    <w:p>
      <w:pPr>
        <w:pStyle w:val="ListNumber"/>
      </w:pPr>
      <w:r>
        <w:t>Gerçek satış geldikçe rolling backtest, WAPE ve bias ile yöntemleri karşılaştır.</w:t>
      </w:r>
    </w:p>
    <w:p>
      <w:pPr>
        <w:pStyle w:val="ListNumber"/>
      </w:pPr>
      <w:r>
        <w:t>İkinci tam sezonda Seasonal Average'ı; yeterli temiz veri oluştuğunda ML challenger'ı değerlendir.</w:t>
      </w:r>
    </w:p>
    <w:p>
      <w:pPr>
        <w:pStyle w:val="Heading1"/>
      </w:pPr>
      <w:r>
        <w:t>12. Sonuç</w:t>
      </w:r>
    </w:p>
    <w:p>
      <w:r>
        <w:t>NetSuite'in Moving Average, Linear Regression ve Seasonal Average metotlarının bugün ana yöntem olarak seçilmemesinin nedeni bu metotların kötü olması değil, gerekli varsayımların Vizyon Deri'nin mevcut verisinde karşılanmamasıdır. Bir yıllık geçmiş, ürün kodu değişimi, güçlü sezon, seyrek beden serisi, stockout, kampanya ve iade etkisi; doğrudan uygulanan istatistiksel yöntemi yanıltır.</w:t>
      </w:r>
    </w:p>
    <w:p>
      <w:r>
        <w:t>Bizim yöntemimiz bu sınırlamaları saklamaz. Önce ürün ve veri sürekliliğini kurar; gözlenen satışı düzeltilmiş net talebe çevirir; aynı ticari dönemi referans alır; dönem uzunluğunu normalize eder; ticari büyüme varsayımını ayrı tutar; toplam talebi bedenlere dayanıklı biçimde dağıtır; erişilebilir stok ve zamanında arzı düşer; safety stock, MOQ ve üretim katını uygular. Sonuç olarak üretilen sayı yalnızca tahmin değil, nedenleri görülebilen uygulanabilir üretim önerisidir.</w:t>
      </w:r>
    </w:p>
    <w:tbl>
      <w:tblPr>
        <w:tblW w:type="auto" w:w="0"/>
        <w:tblLayout w:type="fixed"/>
        <w:tblLook w:firstColumn="1" w:firstRow="1" w:lastColumn="0" w:lastRow="0" w:noHBand="0" w:noVBand="1" w:val="04A0"/>
      </w:tblPr>
      <w:tblGrid>
        <w:gridCol w:w="4957"/>
        <w:gridCol w:w="4957"/>
      </w:tblGrid>
      <w:tr>
        <w:tc>
          <w:tcPr>
            <w:tcW w:type="dxa" w:w="142"/>
            <w:shd w:fill="17324D"/>
            <w:tcMar>
              <w:top w:w="30" w:type="dxa"/>
              <w:start w:w="20" w:type="dxa"/>
              <w:bottom w:w="30" w:type="dxa"/>
              <w:end w:w="20" w:type="dxa"/>
            </w:tcMar>
          </w:tcPr>
          <w:p/>
        </w:tc>
        <w:tc>
          <w:tcPr>
            <w:tcW w:type="dxa" w:w="9071"/>
            <w:shd w:fill="EAF0F6"/>
            <w:tcMar>
              <w:top w:w="150" w:type="dxa"/>
              <w:start w:w="220" w:type="dxa"/>
              <w:bottom w:w="150" w:type="dxa"/>
              <w:end w:w="220" w:type="dxa"/>
            </w:tcMar>
          </w:tcPr>
          <w:p>
            <w:pPr>
              <w:spacing w:after="80"/>
            </w:pPr>
            <w:r/>
            <w:r>
              <w:rPr>
                <w:rFonts w:ascii="Aptos Display" w:hAnsi="Aptos Display"/>
                <w:b/>
                <w:color w:val="17324D"/>
                <w:sz w:val="22"/>
              </w:rPr>
              <w:t>Tek cümlelik yöntem özeti</w:t>
            </w:r>
          </w:p>
          <w:p>
            <w:pPr>
              <w:spacing w:after="0"/>
            </w:pPr>
            <w:r>
              <w:t>Geçen yılın karşılaştırılabilir dönemindeki düzeltilmiş net talebi, açık ticari varsayımlar ve gerçek stok/arz/üretim kısıtlarıyla birleştir; alternatif metotları kararı otomatik değiştiren yöntemler değil, ölçülen kontrol sinyalleri olarak kullan.</w:t>
            </w:r>
          </w:p>
        </w:tc>
      </w:tr>
    </w:tbl>
    <w:p>
      <w:pPr>
        <w:spacing w:after="0"/>
      </w:pPr>
    </w:p>
    <w:p>
      <w:r>
        <w:br w:type="page"/>
      </w:r>
    </w:p>
    <w:p>
      <w:pPr>
        <w:pStyle w:val="Heading1"/>
      </w:pPr>
      <w:r>
        <w:t>Ek A — Kaynaklar</w:t>
      </w:r>
    </w:p>
    <w:p>
      <w:pPr>
        <w:spacing w:after="160"/>
        <w:ind w:left="283" w:hanging="283"/>
      </w:pPr>
      <w:r>
        <w:t>[1] Oracle NetSuite — Calculating Item Demand: Linear Regression, Moving Average, Seasonal Average, Sales Forecast, aylık seasonal interval ve Alternate Source Item. https://docs.oracle.com/en/cloud/saas/netsuite/ns-online-help/section_N2290234.html</w:t>
      </w:r>
    </w:p>
    <w:p>
      <w:pPr>
        <w:spacing w:after="160"/>
        <w:ind w:left="283" w:hanging="283"/>
      </w:pPr>
      <w:r>
        <w:t>[2] Oracle NetSuite — Demand Planning: demand plan ve supply plan genel akışı. https://docs.oracle.com/en/cloud/saas/netsuite/ns-online-help/section_N2286970.html</w:t>
      </w:r>
    </w:p>
    <w:p>
      <w:pPr>
        <w:spacing w:after="160"/>
        <w:ind w:left="283" w:hanging="283"/>
      </w:pPr>
      <w:r>
        <w:t>[3] Proje kaynağı — vizyon plan.txt: mevcut yöntem, NetSuite yöntem farkları, veri sorunları ve önerilen sıra.</w:t>
      </w:r>
    </w:p>
    <w:p>
      <w:pPr>
        <w:spacing w:after="160"/>
        <w:ind w:left="283" w:hanging="283"/>
      </w:pPr>
      <w:r>
        <w:t>[4] Proje kaynağı — docs/FORECASTING_METHOD_DECISION.md: yöntem kararı, beden dağılımı, backtest ve veri düzeltmeleri.</w:t>
      </w:r>
    </w:p>
    <w:p>
      <w:pPr>
        <w:spacing w:after="160"/>
        <w:ind w:left="283" w:hanging="283"/>
      </w:pPr>
      <w:r>
        <w:t>[5] Proje kaynağı — docs/DEFAULT_ASSUMPTIONS.md: satış, iade, stok, arz, MOQ, kanal ve onay kuralları.</w:t>
      </w:r>
    </w:p>
    <w:p>
      <w:pPr>
        <w:spacing w:after="160"/>
        <w:ind w:left="283" w:hanging="283"/>
      </w:pPr>
      <w:r>
        <w:t>[6] Proje kaynağı — docs/DATA_CONTRACT.md: kanonik alanlar ve planlama çıktıları.</w:t>
      </w:r>
    </w:p>
    <w:p>
      <w:pPr>
        <w:pStyle w:val="Heading1"/>
      </w:pPr>
      <w:r>
        <w:t>Ek B — Terimler</w:t>
      </w:r>
    </w:p>
    <w:tbl>
      <w:tblPr>
        <w:tblStyle w:val="TableGrid"/>
        <w:tblW w:type="auto" w:w="0"/>
        <w:jc w:val="center"/>
        <w:tblLayout w:type="fixed"/>
        <w:tblLook w:firstColumn="1" w:firstRow="1" w:lastColumn="0" w:lastRow="0" w:noHBand="0" w:noVBand="1" w:val="04A0"/>
      </w:tblPr>
      <w:tblGrid>
        <w:gridCol w:w="4957"/>
        <w:gridCol w:w="4957"/>
      </w:tblGrid>
      <w:tr>
        <w:trPr>
          <w:tblHeader w:val="true"/>
          <w:cantSplit/>
        </w:trPr>
        <w:tc>
          <w:tcPr>
            <w:tcW w:type="dxa" w:w="2381"/>
            <w:vAlign w:val="center"/>
            <w:tcMar>
              <w:top w:w="100" w:type="dxa"/>
              <w:start w:w="120" w:type="dxa"/>
              <w:bottom w:w="100" w:type="dxa"/>
              <w:end w:w="120" w:type="dxa"/>
            </w:tcMar>
            <w:shd w:fill="17324D"/>
          </w:tcPr>
          <w:p>
            <w:pPr>
              <w:spacing w:after="0"/>
            </w:pPr>
            <w:r/>
            <w:r>
              <w:rPr>
                <w:rFonts w:ascii="Aptos" w:hAnsi="Aptos"/>
                <w:b/>
                <w:color w:val="FFFFFF"/>
                <w:sz w:val="16"/>
              </w:rPr>
              <w:t>Terim</w:t>
            </w:r>
          </w:p>
        </w:tc>
        <w:tc>
          <w:tcPr>
            <w:tcW w:type="dxa" w:w="6860"/>
            <w:vAlign w:val="center"/>
            <w:tcMar>
              <w:top w:w="100" w:type="dxa"/>
              <w:start w:w="120" w:type="dxa"/>
              <w:bottom w:w="100" w:type="dxa"/>
              <w:end w:w="120" w:type="dxa"/>
            </w:tcMar>
            <w:shd w:fill="17324D"/>
          </w:tcPr>
          <w:p>
            <w:pPr>
              <w:spacing w:after="0"/>
            </w:pPr>
            <w:r/>
            <w:r>
              <w:rPr>
                <w:rFonts w:ascii="Aptos" w:hAnsi="Aptos"/>
                <w:b/>
                <w:color w:val="FFFFFF"/>
                <w:sz w:val="16"/>
              </w:rPr>
              <w:t>Açıklama</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Baseline</w:t>
            </w:r>
          </w:p>
        </w:tc>
        <w:tc>
          <w:tcPr>
            <w:tcW w:type="dxa" w:w="6860"/>
            <w:vAlign w:val="center"/>
            <w:tcMar>
              <w:top w:w="100" w:type="dxa"/>
              <w:start w:w="120" w:type="dxa"/>
              <w:bottom w:w="100" w:type="dxa"/>
              <w:end w:w="120" w:type="dxa"/>
            </w:tcMar>
          </w:tcPr>
          <w:p>
            <w:pPr>
              <w:spacing w:after="0"/>
            </w:pPr>
            <w:r/>
            <w:r>
              <w:rPr>
                <w:rFonts w:ascii="Aptos" w:hAnsi="Aptos"/>
                <w:b w:val="0"/>
                <w:color w:val="202B33"/>
                <w:sz w:val="17"/>
              </w:rPr>
              <w:t>Karşılaştırmada temel alınan ana tahmin</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Challenger</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7"/>
              </w:rPr>
              <w:t>Ana yönteme karşı ölçülen fakat otomatik karar vermeyen alternatif</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Seasonal naive</w:t>
            </w:r>
          </w:p>
        </w:tc>
        <w:tc>
          <w:tcPr>
            <w:tcW w:type="dxa" w:w="6860"/>
            <w:vAlign w:val="center"/>
            <w:tcMar>
              <w:top w:w="100" w:type="dxa"/>
              <w:start w:w="120" w:type="dxa"/>
              <w:bottom w:w="100" w:type="dxa"/>
              <w:end w:w="120" w:type="dxa"/>
            </w:tcMar>
          </w:tcPr>
          <w:p>
            <w:pPr>
              <w:spacing w:after="0"/>
            </w:pPr>
            <w:r/>
            <w:r>
              <w:rPr>
                <w:rFonts w:ascii="Aptos" w:hAnsi="Aptos"/>
                <w:b w:val="0"/>
                <w:color w:val="202B33"/>
                <w:sz w:val="17"/>
              </w:rPr>
              <w:t>Geleceği geçen yılın aynı dönemine dayandıran basit sezon yöntemi</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Offerable stok</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7"/>
              </w:rPr>
              <w:t>Taahhüt, bloke ve rezervasyonlar sonrası gerçekten kullanılabilir stok</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Stockout bias</w:t>
            </w:r>
          </w:p>
        </w:tc>
        <w:tc>
          <w:tcPr>
            <w:tcW w:type="dxa" w:w="6860"/>
            <w:vAlign w:val="center"/>
            <w:tcMar>
              <w:top w:w="100" w:type="dxa"/>
              <w:start w:w="120" w:type="dxa"/>
              <w:bottom w:w="100" w:type="dxa"/>
              <w:end w:w="120" w:type="dxa"/>
            </w:tcMar>
          </w:tcPr>
          <w:p>
            <w:pPr>
              <w:spacing w:after="0"/>
            </w:pPr>
            <w:r/>
            <w:r>
              <w:rPr>
                <w:rFonts w:ascii="Aptos" w:hAnsi="Aptos"/>
                <w:b w:val="0"/>
                <w:color w:val="202B33"/>
                <w:sz w:val="17"/>
              </w:rPr>
              <w:t>Stok yokluğundan kaynaklanan sıfır satışın düşük talep sanılması</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MOQ</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7"/>
              </w:rPr>
              <w:t>Minimum üretim veya sipariş miktarı</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Üretim katı</w:t>
            </w:r>
          </w:p>
        </w:tc>
        <w:tc>
          <w:tcPr>
            <w:tcW w:type="dxa" w:w="6860"/>
            <w:vAlign w:val="center"/>
            <w:tcMar>
              <w:top w:w="100" w:type="dxa"/>
              <w:start w:w="120" w:type="dxa"/>
              <w:bottom w:w="100" w:type="dxa"/>
              <w:end w:w="120" w:type="dxa"/>
            </w:tcMar>
          </w:tcPr>
          <w:p>
            <w:pPr>
              <w:spacing w:after="0"/>
            </w:pPr>
            <w:r/>
            <w:r>
              <w:rPr>
                <w:rFonts w:ascii="Aptos" w:hAnsi="Aptos"/>
                <w:b w:val="0"/>
                <w:color w:val="202B33"/>
                <w:sz w:val="17"/>
              </w:rPr>
              <w:t>Üretimin yuvarlanacağı parti adedi</w:t>
            </w:r>
          </w:p>
        </w:tc>
      </w:tr>
      <w:tr>
        <w:trPr>
          <w:cantSplit/>
        </w:trPr>
        <w:tc>
          <w:tcPr>
            <w:tcW w:type="dxa" w:w="2381"/>
            <w:vAlign w:val="center"/>
            <w:tcMar>
              <w:top w:w="100" w:type="dxa"/>
              <w:start w:w="120" w:type="dxa"/>
              <w:bottom w:w="100" w:type="dxa"/>
              <w:end w:w="120" w:type="dxa"/>
            </w:tcMar>
            <w:shd w:fill="F3F5F7"/>
          </w:tcPr>
          <w:p>
            <w:pPr>
              <w:spacing w:after="0"/>
            </w:pPr>
            <w:r/>
            <w:r>
              <w:rPr>
                <w:rFonts w:ascii="Aptos" w:hAnsi="Aptos"/>
                <w:b w:val="0"/>
                <w:color w:val="202B33"/>
                <w:sz w:val="17"/>
              </w:rPr>
              <w:t>WAPE</w:t>
            </w:r>
          </w:p>
        </w:tc>
        <w:tc>
          <w:tcPr>
            <w:tcW w:type="dxa" w:w="6860"/>
            <w:vAlign w:val="center"/>
            <w:tcMar>
              <w:top w:w="100" w:type="dxa"/>
              <w:start w:w="120" w:type="dxa"/>
              <w:bottom w:w="100" w:type="dxa"/>
              <w:end w:w="120" w:type="dxa"/>
            </w:tcMar>
            <w:shd w:fill="F3F5F7"/>
          </w:tcPr>
          <w:p>
            <w:pPr>
              <w:spacing w:after="0"/>
            </w:pPr>
            <w:r/>
            <w:r>
              <w:rPr>
                <w:rFonts w:ascii="Aptos" w:hAnsi="Aptos"/>
                <w:b w:val="0"/>
                <w:color w:val="202B33"/>
                <w:sz w:val="17"/>
              </w:rPr>
              <w:t>Hacme göre ağırlıklı mutlak tahmin hatası</w:t>
            </w:r>
          </w:p>
        </w:tc>
      </w:tr>
      <w:tr>
        <w:trPr>
          <w:cantSplit/>
        </w:trPr>
        <w:tc>
          <w:tcPr>
            <w:tcW w:type="dxa" w:w="2381"/>
            <w:vAlign w:val="center"/>
            <w:tcMar>
              <w:top w:w="100" w:type="dxa"/>
              <w:start w:w="120" w:type="dxa"/>
              <w:bottom w:w="100" w:type="dxa"/>
              <w:end w:w="120" w:type="dxa"/>
            </w:tcMar>
          </w:tcPr>
          <w:p>
            <w:pPr>
              <w:spacing w:after="0"/>
            </w:pPr>
            <w:r/>
            <w:r>
              <w:rPr>
                <w:rFonts w:ascii="Aptos" w:hAnsi="Aptos"/>
                <w:b w:val="0"/>
                <w:color w:val="202B33"/>
                <w:sz w:val="17"/>
              </w:rPr>
              <w:t>Bias</w:t>
            </w:r>
          </w:p>
        </w:tc>
        <w:tc>
          <w:tcPr>
            <w:tcW w:type="dxa" w:w="6860"/>
            <w:vAlign w:val="center"/>
            <w:tcMar>
              <w:top w:w="100" w:type="dxa"/>
              <w:start w:w="120" w:type="dxa"/>
              <w:bottom w:w="100" w:type="dxa"/>
              <w:end w:w="120" w:type="dxa"/>
            </w:tcMar>
          </w:tcPr>
          <w:p>
            <w:pPr>
              <w:spacing w:after="0"/>
            </w:pPr>
            <w:r/>
            <w:r>
              <w:rPr>
                <w:rFonts w:ascii="Aptos" w:hAnsi="Aptos"/>
                <w:b w:val="0"/>
                <w:color w:val="202B33"/>
                <w:sz w:val="17"/>
              </w:rPr>
              <w:t>Tahminin sistematik fazla veya eksik olma yönü</w:t>
            </w:r>
          </w:p>
        </w:tc>
      </w:tr>
    </w:tbl>
    <w:p>
      <w:pPr>
        <w:spacing w:after="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E"/>
        <w:sz w:val="16"/>
      </w:rPr>
      <w:t xml:space="preserve">Gizli — Yönetim değerlendirmesi için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17E"/>
        <w:sz w:val="16"/>
      </w:rPr>
      <w:t>VİZYON DERİ  |  PLANLAMA METODOLOJİSİ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B7A7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Vizyon Deri Talep ve Üretim Planlama Metodolojisi</dc:title>
  <dc:subject>NetSuite metotlarının değerlendirmesi ve önerilen hesaplama yöntemi</dc:subject>
  <dc:creator>Vizyon Planlama Proje Ekibi</dc:creator>
  <cp:keywords>Vizyon Deri, NetSuite, Demand Planning, metodoloji, üretim planlama</cp:keywords>
  <dc:description>Vizyon planı ve proje teknik belgelerinden hazırlanmış; çoklu simülasyon metodolojisi dahil edilmiştir.</dc:description>
  <cp:lastModifiedBy/>
  <cp:revision>1</cp:revision>
  <dcterms:created xsi:type="dcterms:W3CDTF">2013-12-23T23:15:00Z</dcterms:created>
  <dcterms:modified xsi:type="dcterms:W3CDTF">2013-12-23T23:15:00Z</dcterms:modified>
  <cp:category/>
</cp:coreProperties>
</file>