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Aptos Display" w:hAnsi="Aptos Display"/>
          <w:b/>
          <w:color w:val="0B7A75"/>
          <w:sz w:val="26"/>
        </w:rPr>
        <w:t>VİZYON DERİ</w:t>
      </w:r>
    </w:p>
    <w:p>
      <w:pPr>
        <w:pStyle w:val="Title"/>
      </w:pPr>
      <w:r>
        <w:t>Temel Talep, Üretim ve</w:t>
        <w:br/>
        <w:t>Depo Alokasyon Programı</w:t>
      </w:r>
    </w:p>
    <w:p>
      <w:r>
        <w:rPr>
          <w:rFonts w:ascii="Aptos" w:hAnsi="Aptos"/>
          <w:color w:val="0B7A75"/>
          <w:sz w:val="30"/>
        </w:rPr>
        <w:t>Revize kapsam, efor, maliyet ve canlıya geçiş teklifi</w:t>
      </w:r>
    </w:p>
    <w:p>
      <w:r>
        <w:br/>
      </w:r>
    </w:p>
    <w:tbl>
      <w:tblPr>
        <w:tblW w:type="auto" w:w="0"/>
        <w:tblLayout w:type="fixed"/>
        <w:tblLook w:firstColumn="1" w:firstRow="1" w:lastColumn="0" w:lastRow="0" w:noHBand="0" w:noVBand="1" w:val="04A0"/>
      </w:tblPr>
      <w:tblGrid>
        <w:gridCol w:w="4957"/>
        <w:gridCol w:w="4957"/>
      </w:tblGrid>
      <w:tr>
        <w:tc>
          <w:tcPr>
            <w:tcW w:type="dxa" w:w="142"/>
            <w:shd w:fill="0B7A75"/>
            <w:tcMar>
              <w:top w:w="30" w:type="dxa"/>
              <w:start w:w="20" w:type="dxa"/>
              <w:bottom w:w="30" w:type="dxa"/>
              <w:end w:w="20" w:type="dxa"/>
            </w:tcMar>
          </w:tcPr>
          <w:p/>
        </w:tc>
        <w:tc>
          <w:tcPr>
            <w:tcW w:type="dxa" w:w="9071"/>
            <w:shd w:fill="E5F4F2"/>
            <w:tcMar>
              <w:top w:w="150" w:type="dxa"/>
              <w:start w:w="220" w:type="dxa"/>
              <w:bottom w:w="150" w:type="dxa"/>
              <w:end w:w="220" w:type="dxa"/>
            </w:tcMar>
          </w:tcPr>
          <w:p>
            <w:pPr>
              <w:spacing w:after="80"/>
            </w:pPr>
            <w:r/>
            <w:r>
              <w:rPr>
                <w:rFonts w:ascii="Aptos Display" w:hAnsi="Aptos Display"/>
                <w:b/>
                <w:color w:val="0B7A75"/>
                <w:sz w:val="22"/>
              </w:rPr>
              <w:t>Kapsam kararı</w:t>
            </w:r>
          </w:p>
          <w:p>
            <w:pPr>
              <w:spacing w:after="0"/>
            </w:pPr>
            <w:r>
              <w:t>İlk sürüm yalnız eş dönem net satış × kullanıcı büyüme çarpanı yöntemine dayanır. Alternatif istatistiksel modeller, çoklu simülasyonlar ve eski-yeni SKU geçmiş birleştirmesi bu faza dahil değildir.</w:t>
            </w:r>
          </w:p>
        </w:tc>
      </w:tr>
    </w:tbl>
    <w:p>
      <w:pPr>
        <w:spacing w:after="0"/>
      </w:pPr>
    </w:p>
    <w:tbl>
      <w:tblPr>
        <w:tblStyle w:val="TableGrid"/>
        <w:tblW w:type="auto" w:w="0"/>
        <w:jc w:val="center"/>
        <w:tblLayout w:type="fixed"/>
        <w:tblLook w:firstColumn="1" w:firstRow="1" w:lastColumn="0" w:lastRow="0" w:noHBand="0" w:noVBand="1" w:val="04A0"/>
      </w:tblPr>
      <w:tblGrid>
        <w:gridCol w:w="4957"/>
        <w:gridCol w:w="4957"/>
      </w:tblGrid>
      <w:tr>
        <w:trPr>
          <w:tblHeader w:val="true"/>
          <w:cantSplit/>
        </w:trPr>
        <w:tc>
          <w:tcPr>
            <w:tcW w:type="dxa" w:w="2948"/>
            <w:vAlign w:val="center"/>
            <w:tcMar>
              <w:top w:w="100" w:type="dxa"/>
              <w:start w:w="120" w:type="dxa"/>
              <w:bottom w:w="100" w:type="dxa"/>
              <w:end w:w="120" w:type="dxa"/>
            </w:tcMar>
            <w:shd w:fill="17324D"/>
          </w:tcPr>
          <w:p>
            <w:pPr>
              <w:spacing w:after="0"/>
            </w:pPr>
            <w:r/>
            <w:r>
              <w:rPr>
                <w:rFonts w:ascii="Aptos" w:hAnsi="Aptos"/>
                <w:b/>
                <w:color w:val="FFFFFF"/>
                <w:sz w:val="16"/>
              </w:rPr>
              <w:t>Belge bilgisi</w:t>
            </w:r>
          </w:p>
        </w:tc>
        <w:tc>
          <w:tcPr>
            <w:tcW w:type="dxa" w:w="6293"/>
            <w:vAlign w:val="center"/>
            <w:tcMar>
              <w:top w:w="100" w:type="dxa"/>
              <w:start w:w="120" w:type="dxa"/>
              <w:bottom w:w="100" w:type="dxa"/>
              <w:end w:w="120" w:type="dxa"/>
            </w:tcMar>
            <w:shd w:fill="17324D"/>
          </w:tcPr>
          <w:p>
            <w:pPr>
              <w:spacing w:after="0"/>
            </w:pPr>
            <w:r/>
            <w:r>
              <w:rPr>
                <w:rFonts w:ascii="Aptos" w:hAnsi="Aptos"/>
                <w:b/>
                <w:color w:val="FFFFFF"/>
                <w:sz w:val="16"/>
              </w:rPr>
              <w:t>Değer</w:t>
            </w:r>
          </w:p>
        </w:tc>
      </w:tr>
      <w:tr>
        <w:trPr>
          <w:cantSplit/>
        </w:trPr>
        <w:tc>
          <w:tcPr>
            <w:tcW w:type="dxa" w:w="2948"/>
            <w:vAlign w:val="center"/>
            <w:tcMar>
              <w:top w:w="100" w:type="dxa"/>
              <w:start w:w="120" w:type="dxa"/>
              <w:bottom w:w="100" w:type="dxa"/>
              <w:end w:w="120" w:type="dxa"/>
            </w:tcMar>
          </w:tcPr>
          <w:p>
            <w:pPr>
              <w:spacing w:after="0"/>
            </w:pPr>
            <w:r/>
            <w:r>
              <w:rPr>
                <w:rFonts w:ascii="Aptos" w:hAnsi="Aptos"/>
                <w:b w:val="0"/>
                <w:color w:val="202B33"/>
                <w:sz w:val="18"/>
              </w:rPr>
              <w:t>Tarih</w:t>
            </w:r>
          </w:p>
        </w:tc>
        <w:tc>
          <w:tcPr>
            <w:tcW w:type="dxa" w:w="6293"/>
            <w:vAlign w:val="center"/>
            <w:tcMar>
              <w:top w:w="100" w:type="dxa"/>
              <w:start w:w="120" w:type="dxa"/>
              <w:bottom w:w="100" w:type="dxa"/>
              <w:end w:w="120" w:type="dxa"/>
            </w:tcMar>
          </w:tcPr>
          <w:p>
            <w:pPr>
              <w:spacing w:after="0"/>
            </w:pPr>
            <w:r/>
            <w:r>
              <w:rPr>
                <w:rFonts w:ascii="Aptos" w:hAnsi="Aptos"/>
                <w:b w:val="0"/>
                <w:color w:val="202B33"/>
                <w:sz w:val="18"/>
              </w:rPr>
              <w:t>12 Ekim 2026</w:t>
            </w:r>
          </w:p>
        </w:tc>
      </w:tr>
      <w:tr>
        <w:trPr>
          <w:cantSplit/>
        </w:trPr>
        <w:tc>
          <w:tcPr>
            <w:tcW w:type="dxa" w:w="2948"/>
            <w:vAlign w:val="center"/>
            <w:tcMar>
              <w:top w:w="100" w:type="dxa"/>
              <w:start w:w="120" w:type="dxa"/>
              <w:bottom w:w="100" w:type="dxa"/>
              <w:end w:w="120" w:type="dxa"/>
            </w:tcMar>
            <w:shd w:fill="F3F5F7"/>
          </w:tcPr>
          <w:p>
            <w:pPr>
              <w:spacing w:after="0"/>
            </w:pPr>
            <w:r/>
            <w:r>
              <w:rPr>
                <w:rFonts w:ascii="Aptos" w:hAnsi="Aptos"/>
                <w:b w:val="0"/>
                <w:color w:val="202B33"/>
                <w:sz w:val="18"/>
              </w:rPr>
              <w:t>Sürüm</w:t>
            </w:r>
          </w:p>
        </w:tc>
        <w:tc>
          <w:tcPr>
            <w:tcW w:type="dxa" w:w="6293"/>
            <w:vAlign w:val="center"/>
            <w:tcMar>
              <w:top w:w="100" w:type="dxa"/>
              <w:start w:w="120" w:type="dxa"/>
              <w:bottom w:w="100" w:type="dxa"/>
              <w:end w:w="120" w:type="dxa"/>
            </w:tcMar>
            <w:shd w:fill="F3F5F7"/>
          </w:tcPr>
          <w:p>
            <w:pPr>
              <w:spacing w:after="0"/>
            </w:pPr>
            <w:r/>
            <w:r>
              <w:rPr>
                <w:rFonts w:ascii="Aptos" w:hAnsi="Aptos"/>
                <w:b w:val="0"/>
                <w:color w:val="202B33"/>
                <w:sz w:val="18"/>
              </w:rPr>
              <w:t>Revize teklif v1.0</w:t>
            </w:r>
          </w:p>
        </w:tc>
      </w:tr>
      <w:tr>
        <w:trPr>
          <w:cantSplit/>
        </w:trPr>
        <w:tc>
          <w:tcPr>
            <w:tcW w:type="dxa" w:w="2948"/>
            <w:vAlign w:val="center"/>
            <w:tcMar>
              <w:top w:w="100" w:type="dxa"/>
              <w:start w:w="120" w:type="dxa"/>
              <w:bottom w:w="100" w:type="dxa"/>
              <w:end w:w="120" w:type="dxa"/>
            </w:tcMar>
          </w:tcPr>
          <w:p>
            <w:pPr>
              <w:spacing w:after="0"/>
            </w:pPr>
            <w:r/>
            <w:r>
              <w:rPr>
                <w:rFonts w:ascii="Aptos" w:hAnsi="Aptos"/>
                <w:b w:val="0"/>
                <w:color w:val="202B33"/>
                <w:sz w:val="18"/>
              </w:rPr>
              <w:t>Hedef</w:t>
            </w:r>
          </w:p>
        </w:tc>
        <w:tc>
          <w:tcPr>
            <w:tcW w:type="dxa" w:w="6293"/>
            <w:vAlign w:val="center"/>
            <w:tcMar>
              <w:top w:w="100" w:type="dxa"/>
              <w:start w:w="120" w:type="dxa"/>
              <w:bottom w:w="100" w:type="dxa"/>
              <w:end w:w="120" w:type="dxa"/>
            </w:tcMar>
          </w:tcPr>
          <w:p>
            <w:pPr>
              <w:spacing w:after="0"/>
            </w:pPr>
            <w:r/>
            <w:r>
              <w:rPr>
                <w:rFonts w:ascii="Aptos" w:hAnsi="Aptos"/>
                <w:b w:val="0"/>
                <w:color w:val="202B33"/>
                <w:sz w:val="18"/>
              </w:rPr>
              <w:t>Vizyon Deri'nin kendi sunucusunda çalışan kullanılabilir ilk sürüm</w:t>
            </w:r>
          </w:p>
        </w:tc>
      </w:tr>
      <w:tr>
        <w:trPr>
          <w:cantSplit/>
        </w:trPr>
        <w:tc>
          <w:tcPr>
            <w:tcW w:type="dxa" w:w="2948"/>
            <w:vAlign w:val="center"/>
            <w:tcMar>
              <w:top w:w="100" w:type="dxa"/>
              <w:start w:w="120" w:type="dxa"/>
              <w:bottom w:w="100" w:type="dxa"/>
              <w:end w:w="120" w:type="dxa"/>
            </w:tcMar>
            <w:shd w:fill="F3F5F7"/>
          </w:tcPr>
          <w:p>
            <w:pPr>
              <w:spacing w:after="0"/>
            </w:pPr>
            <w:r/>
            <w:r>
              <w:rPr>
                <w:rFonts w:ascii="Aptos" w:hAnsi="Aptos"/>
                <w:b w:val="0"/>
                <w:color w:val="202B33"/>
                <w:sz w:val="18"/>
              </w:rPr>
              <w:t>Önerilen başlangıç</w:t>
            </w:r>
          </w:p>
        </w:tc>
        <w:tc>
          <w:tcPr>
            <w:tcW w:type="dxa" w:w="6293"/>
            <w:vAlign w:val="center"/>
            <w:tcMar>
              <w:top w:w="100" w:type="dxa"/>
              <w:start w:w="120" w:type="dxa"/>
              <w:bottom w:w="100" w:type="dxa"/>
              <w:end w:w="120" w:type="dxa"/>
            </w:tcMar>
            <w:shd w:fill="F3F5F7"/>
          </w:tcPr>
          <w:p>
            <w:pPr>
              <w:spacing w:after="0"/>
            </w:pPr>
            <w:r/>
            <w:r>
              <w:rPr>
                <w:rFonts w:ascii="Aptos" w:hAnsi="Aptos"/>
                <w:b w:val="0"/>
                <w:color w:val="202B33"/>
                <w:sz w:val="18"/>
              </w:rPr>
              <w:t>15 Ekim 2026 — onay ve erişimlerin tamamlanması koşuluyla</w:t>
            </w:r>
          </w:p>
        </w:tc>
      </w:tr>
      <w:tr>
        <w:trPr>
          <w:cantSplit/>
        </w:trPr>
        <w:tc>
          <w:tcPr>
            <w:tcW w:type="dxa" w:w="2948"/>
            <w:vAlign w:val="center"/>
            <w:tcMar>
              <w:top w:w="100" w:type="dxa"/>
              <w:start w:w="120" w:type="dxa"/>
              <w:bottom w:w="100" w:type="dxa"/>
              <w:end w:w="120" w:type="dxa"/>
            </w:tcMar>
          </w:tcPr>
          <w:p>
            <w:pPr>
              <w:spacing w:after="0"/>
            </w:pPr>
            <w:r/>
            <w:r>
              <w:rPr>
                <w:rFonts w:ascii="Aptos" w:hAnsi="Aptos"/>
                <w:b w:val="0"/>
                <w:color w:val="202B33"/>
                <w:sz w:val="18"/>
              </w:rPr>
              <w:t>İlk kullanılabilir UAT sürümü</w:t>
            </w:r>
          </w:p>
        </w:tc>
        <w:tc>
          <w:tcPr>
            <w:tcW w:type="dxa" w:w="6293"/>
            <w:vAlign w:val="center"/>
            <w:tcMar>
              <w:top w:w="100" w:type="dxa"/>
              <w:start w:w="120" w:type="dxa"/>
              <w:bottom w:w="100" w:type="dxa"/>
              <w:end w:w="120" w:type="dxa"/>
            </w:tcMar>
          </w:tcPr>
          <w:p>
            <w:pPr>
              <w:spacing w:after="0"/>
            </w:pPr>
            <w:r/>
            <w:r>
              <w:rPr>
                <w:rFonts w:ascii="Aptos" w:hAnsi="Aptos"/>
                <w:b w:val="0"/>
                <w:color w:val="202B33"/>
                <w:sz w:val="18"/>
              </w:rPr>
              <w:t>6 Kasım 2026</w:t>
            </w:r>
          </w:p>
        </w:tc>
      </w:tr>
      <w:tr>
        <w:trPr>
          <w:cantSplit/>
        </w:trPr>
        <w:tc>
          <w:tcPr>
            <w:tcW w:type="dxa" w:w="2948"/>
            <w:vAlign w:val="center"/>
            <w:tcMar>
              <w:top w:w="100" w:type="dxa"/>
              <w:start w:w="120" w:type="dxa"/>
              <w:bottom w:w="100" w:type="dxa"/>
              <w:end w:w="120" w:type="dxa"/>
            </w:tcMar>
            <w:shd w:fill="F3F5F7"/>
          </w:tcPr>
          <w:p>
            <w:pPr>
              <w:spacing w:after="0"/>
            </w:pPr>
            <w:r/>
            <w:r>
              <w:rPr>
                <w:rFonts w:ascii="Aptos" w:hAnsi="Aptos"/>
                <w:b w:val="0"/>
                <w:color w:val="202B33"/>
                <w:sz w:val="18"/>
              </w:rPr>
              <w:t>Hedef canlı kullanım</w:t>
            </w:r>
          </w:p>
        </w:tc>
        <w:tc>
          <w:tcPr>
            <w:tcW w:type="dxa" w:w="6293"/>
            <w:vAlign w:val="center"/>
            <w:tcMar>
              <w:top w:w="100" w:type="dxa"/>
              <w:start w:w="120" w:type="dxa"/>
              <w:bottom w:w="100" w:type="dxa"/>
              <w:end w:w="120" w:type="dxa"/>
            </w:tcMar>
            <w:shd w:fill="F3F5F7"/>
          </w:tcPr>
          <w:p>
            <w:pPr>
              <w:spacing w:after="0"/>
            </w:pPr>
            <w:r/>
            <w:r>
              <w:rPr>
                <w:rFonts w:ascii="Aptos" w:hAnsi="Aptos"/>
                <w:b w:val="0"/>
                <w:color w:val="202B33"/>
                <w:sz w:val="18"/>
              </w:rPr>
              <w:t>16 Kasım 2026</w:t>
            </w:r>
          </w:p>
        </w:tc>
      </w:tr>
    </w:tbl>
    <w:p>
      <w:pPr>
        <w:spacing w:after="0"/>
      </w:pPr>
    </w:p>
    <w:p>
      <w:r>
        <w:br w:type="page"/>
      </w:r>
    </w:p>
    <w:p>
      <w:pPr>
        <w:pStyle w:val="Heading1"/>
      </w:pPr>
      <w:r>
        <w:t>1. Talebin değerlendirilmesi</w:t>
      </w:r>
    </w:p>
    <w:p>
      <w:r>
        <w:t>İletilen açıklama, önceki metodoloji belgesindeki daha geniş analitik kapsamı belirgin biçimde daraltmakta ve ilk sürümün karar yöntemini kesinleştirmektedir. Talep; NetSuite'ten alınan yeni ürün yapısına ait satış, iade, stok ve sipariş karşılama verilerini kullanarak satış tahmini, ürün/beden üretim ihtiyacı ve üç depoya üretim alokasyonu üreten bağımsız bir uygulamadır.</w:t>
      </w:r>
    </w:p>
    <w:tbl>
      <w:tblPr>
        <w:tblW w:type="auto" w:w="0"/>
        <w:tblLayout w:type="fixed"/>
        <w:tblLook w:firstColumn="1" w:firstRow="1" w:lastColumn="0" w:lastRow="0" w:noHBand="0" w:noVBand="1" w:val="04A0"/>
      </w:tblPr>
      <w:tblGrid>
        <w:gridCol w:w="4957"/>
        <w:gridCol w:w="4957"/>
      </w:tblGrid>
      <w:tr>
        <w:tc>
          <w:tcPr>
            <w:tcW w:type="dxa" w:w="142"/>
            <w:shd w:fill="17324D"/>
            <w:tcMar>
              <w:top w:w="30" w:type="dxa"/>
              <w:start w:w="20" w:type="dxa"/>
              <w:bottom w:w="30" w:type="dxa"/>
              <w:end w:w="20" w:type="dxa"/>
            </w:tcMar>
          </w:tcPr>
          <w:p/>
        </w:tc>
        <w:tc>
          <w:tcPr>
            <w:tcW w:type="dxa" w:w="9071"/>
            <w:shd w:fill="EAF0F6"/>
            <w:tcMar>
              <w:top w:w="150" w:type="dxa"/>
              <w:start w:w="220" w:type="dxa"/>
              <w:bottom w:w="150" w:type="dxa"/>
              <w:end w:w="220" w:type="dxa"/>
            </w:tcMar>
          </w:tcPr>
          <w:p>
            <w:pPr>
              <w:spacing w:after="80"/>
            </w:pPr>
            <w:r/>
            <w:r>
              <w:rPr>
                <w:rFonts w:ascii="Aptos Display" w:hAnsi="Aptos Display"/>
                <w:b/>
                <w:color w:val="17324D"/>
                <w:sz w:val="22"/>
              </w:rPr>
              <w:t>Net yorum</w:t>
            </w:r>
          </w:p>
          <w:p>
            <w:pPr>
              <w:spacing w:after="0"/>
            </w:pPr>
            <w:r>
              <w:t>Bu çalışma bir tahmin modeli araştırması değildir. Kullanıcı tarafından seçilen eş dönem ve büyüme çarpanını deterministik biçimde üretim ve depo kararına dönüştüren operasyonel planlama programıdır.</w:t>
            </w:r>
          </w:p>
        </w:tc>
      </w:tr>
    </w:tbl>
    <w:p>
      <w:pPr>
        <w:spacing w:after="0"/>
      </w:pPr>
    </w:p>
    <w:p>
      <w:pPr>
        <w:pStyle w:val="Heading2"/>
      </w:pPr>
      <w:r>
        <w:t>1.1 Önceki kapsamdan çıkarılanlar</w:t>
      </w:r>
    </w:p>
    <w:p>
      <w:pPr>
        <w:pStyle w:val="ListBullet"/>
      </w:pPr>
      <w:r>
        <w:t>Linear Regression, Moving Average ve Seasonal Average hesapları</w:t>
      </w:r>
    </w:p>
    <w:p>
      <w:pPr>
        <w:pStyle w:val="ListBullet"/>
      </w:pPr>
      <w:r>
        <w:t>Challenger veya kontrol modeli karşılaştırmaları</w:t>
      </w:r>
    </w:p>
    <w:p>
      <w:pPr>
        <w:pStyle w:val="ListBullet"/>
      </w:pPr>
      <w:r>
        <w:t>Düşük, baz, yüksek veya kullanıcı tanımlı çoklu simülasyonlar</w:t>
      </w:r>
    </w:p>
    <w:p>
      <w:pPr>
        <w:pStyle w:val="ListBullet"/>
      </w:pPr>
      <w:r>
        <w:t>Eylül 2025 öncesindeki eski SKU'larla yeni SKU'ların tarihsel performansını birleştirme</w:t>
      </w:r>
    </w:p>
    <w:p>
      <w:pPr>
        <w:pStyle w:val="ListBullet"/>
      </w:pPr>
      <w:r>
        <w:t>Makine öğrenmesi, LightGBM veya yapay zekâ tabanlı tahmin</w:t>
      </w:r>
    </w:p>
    <w:p>
      <w:pPr>
        <w:pStyle w:val="ListBullet"/>
      </w:pPr>
      <w:r>
        <w:t>İlk sürümde otomatik NetSuite Demand Plan, Work Order veya Transfer Order oluşturma</w:t>
      </w:r>
    </w:p>
    <w:p>
      <w:pPr>
        <w:pStyle w:val="Heading2"/>
      </w:pPr>
      <w:r>
        <w:t>1.2 İlk sürümde esas alınacak veri dönemi</w:t>
      </w:r>
    </w:p>
    <w:p>
      <w:r>
        <w:t>Analiz yalnız Eylül 2025 ve sonrasında kullanılan yeni ürün yapısına ait kayıtları esas alacaktır. Hedef dönemin geçen yıl karşılığı Eylül 2025 öncesine taşıyorsa sistem eksik referans verisi uyarısı verecek; eski ürün kodlarından otomatik tarihçe devralmayacaktır. Örnekteki 1 Kasım 2026–28 Şubat 2027 hedef dönemi, 1 Kasım 2025–28 Şubat 2026 referans dönemiyle tam karşılaştırılabilir durumdadır.</w:t>
      </w:r>
    </w:p>
    <w:p>
      <w:pPr>
        <w:pStyle w:val="Heading1"/>
      </w:pPr>
      <w:r>
        <w:t>2. Onaylanan fonksiyonel kapsam</w:t>
      </w:r>
    </w:p>
    <w:p>
      <w:pPr>
        <w:pStyle w:val="Heading2"/>
      </w:pPr>
      <w:r>
        <w:t>2.1 Plan çalıştırma girdileri</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1984"/>
            <w:vAlign w:val="center"/>
            <w:tcMar>
              <w:top w:w="100" w:type="dxa"/>
              <w:start w:w="120" w:type="dxa"/>
              <w:bottom w:w="100" w:type="dxa"/>
              <w:end w:w="120" w:type="dxa"/>
            </w:tcMar>
            <w:shd w:fill="17324D"/>
          </w:tcPr>
          <w:p>
            <w:pPr>
              <w:spacing w:after="0"/>
            </w:pPr>
            <w:r/>
            <w:r>
              <w:rPr>
                <w:rFonts w:ascii="Aptos" w:hAnsi="Aptos"/>
                <w:b/>
                <w:color w:val="FFFFFF"/>
                <w:sz w:val="16"/>
              </w:rPr>
              <w:t>Girdi</w:t>
            </w:r>
          </w:p>
        </w:tc>
        <w:tc>
          <w:tcPr>
            <w:tcW w:type="dxa" w:w="4195"/>
            <w:vAlign w:val="center"/>
            <w:tcMar>
              <w:top w:w="100" w:type="dxa"/>
              <w:start w:w="120" w:type="dxa"/>
              <w:bottom w:w="100" w:type="dxa"/>
              <w:end w:w="120" w:type="dxa"/>
            </w:tcMar>
            <w:shd w:fill="17324D"/>
          </w:tcPr>
          <w:p>
            <w:pPr>
              <w:spacing w:after="0"/>
            </w:pPr>
            <w:r/>
            <w:r>
              <w:rPr>
                <w:rFonts w:ascii="Aptos" w:hAnsi="Aptos"/>
                <w:b/>
                <w:color w:val="FFFFFF"/>
                <w:sz w:val="16"/>
              </w:rPr>
              <w:t>Davranış</w:t>
            </w:r>
          </w:p>
        </w:tc>
        <w:tc>
          <w:tcPr>
            <w:tcW w:type="dxa" w:w="3061"/>
            <w:vAlign w:val="center"/>
            <w:tcMar>
              <w:top w:w="100" w:type="dxa"/>
              <w:start w:w="120" w:type="dxa"/>
              <w:bottom w:w="100" w:type="dxa"/>
              <w:end w:w="120" w:type="dxa"/>
            </w:tcMar>
            <w:shd w:fill="17324D"/>
          </w:tcPr>
          <w:p>
            <w:pPr>
              <w:spacing w:after="0"/>
            </w:pPr>
            <w:r/>
            <w:r>
              <w:rPr>
                <w:rFonts w:ascii="Aptos" w:hAnsi="Aptos"/>
                <w:b/>
                <w:color w:val="FFFFFF"/>
                <w:sz w:val="16"/>
              </w:rPr>
              <w:t>Kaynak</w:t>
            </w:r>
          </w:p>
        </w:tc>
      </w:tr>
      <w:tr>
        <w:trPr>
          <w:cantSplit/>
        </w:trPr>
        <w:tc>
          <w:tcPr>
            <w:tcW w:type="dxa" w:w="1984"/>
            <w:vAlign w:val="center"/>
            <w:tcMar>
              <w:top w:w="100" w:type="dxa"/>
              <w:start w:w="120" w:type="dxa"/>
              <w:bottom w:w="100" w:type="dxa"/>
              <w:end w:w="120" w:type="dxa"/>
            </w:tcMar>
          </w:tcPr>
          <w:p>
            <w:pPr>
              <w:spacing w:after="0"/>
            </w:pPr>
            <w:r/>
            <w:r>
              <w:rPr>
                <w:rFonts w:ascii="Aptos" w:hAnsi="Aptos"/>
                <w:b w:val="0"/>
                <w:color w:val="202B33"/>
                <w:sz w:val="17"/>
              </w:rPr>
              <w:t>Tür</w:t>
            </w:r>
          </w:p>
        </w:tc>
        <w:tc>
          <w:tcPr>
            <w:tcW w:type="dxa" w:w="4195"/>
            <w:vAlign w:val="center"/>
            <w:tcMar>
              <w:top w:w="100" w:type="dxa"/>
              <w:start w:w="120" w:type="dxa"/>
              <w:bottom w:w="100" w:type="dxa"/>
              <w:end w:w="120" w:type="dxa"/>
            </w:tcMar>
          </w:tcPr>
          <w:p>
            <w:pPr>
              <w:spacing w:after="0"/>
            </w:pPr>
            <w:r/>
            <w:r>
              <w:rPr>
                <w:rFonts w:ascii="Aptos" w:hAnsi="Aptos"/>
                <w:b w:val="0"/>
                <w:color w:val="202B33"/>
                <w:sz w:val="17"/>
              </w:rPr>
              <w:t>Bir veya birden fazla ürün türü seçilir; örn. Kürk ve Deri</w:t>
            </w:r>
          </w:p>
        </w:tc>
        <w:tc>
          <w:tcPr>
            <w:tcW w:type="dxa" w:w="3061"/>
            <w:vAlign w:val="center"/>
            <w:tcMar>
              <w:top w:w="100" w:type="dxa"/>
              <w:start w:w="120" w:type="dxa"/>
              <w:bottom w:w="100" w:type="dxa"/>
              <w:end w:w="120" w:type="dxa"/>
            </w:tcMar>
          </w:tcPr>
          <w:p>
            <w:pPr>
              <w:spacing w:after="0"/>
            </w:pPr>
            <w:r/>
            <w:r>
              <w:rPr>
                <w:rFonts w:ascii="Aptos" w:hAnsi="Aptos"/>
                <w:b w:val="0"/>
                <w:color w:val="202B33"/>
                <w:sz w:val="17"/>
              </w:rPr>
              <w:t>NetSuite item master</w:t>
            </w:r>
          </w:p>
        </w:tc>
      </w:tr>
      <w:tr>
        <w:trPr>
          <w:cantSplit/>
        </w:trPr>
        <w:tc>
          <w:tcPr>
            <w:tcW w:type="dxa" w:w="1984"/>
            <w:vAlign w:val="center"/>
            <w:tcMar>
              <w:top w:w="100" w:type="dxa"/>
              <w:start w:w="120" w:type="dxa"/>
              <w:bottom w:w="100" w:type="dxa"/>
              <w:end w:w="120" w:type="dxa"/>
            </w:tcMar>
            <w:shd w:fill="F3F5F7"/>
          </w:tcPr>
          <w:p>
            <w:pPr>
              <w:spacing w:after="0"/>
            </w:pPr>
            <w:r/>
            <w:r>
              <w:rPr>
                <w:rFonts w:ascii="Aptos" w:hAnsi="Aptos"/>
                <w:b w:val="0"/>
                <w:color w:val="202B33"/>
                <w:sz w:val="17"/>
              </w:rPr>
              <w:t>Statü</w:t>
            </w:r>
          </w:p>
        </w:tc>
        <w:tc>
          <w:tcPr>
            <w:tcW w:type="dxa" w:w="4195"/>
            <w:vAlign w:val="center"/>
            <w:tcMar>
              <w:top w:w="100" w:type="dxa"/>
              <w:start w:w="120" w:type="dxa"/>
              <w:bottom w:w="100" w:type="dxa"/>
              <w:end w:w="120" w:type="dxa"/>
            </w:tcMar>
            <w:shd w:fill="F3F5F7"/>
          </w:tcPr>
          <w:p>
            <w:pPr>
              <w:spacing w:after="0"/>
            </w:pPr>
            <w:r/>
            <w:r>
              <w:rPr>
                <w:rFonts w:ascii="Aptos" w:hAnsi="Aptos"/>
                <w:b w:val="0"/>
                <w:color w:val="202B33"/>
                <w:sz w:val="17"/>
              </w:rPr>
              <w:t>Örn. S1 kapsamı filtrelenir</w:t>
            </w:r>
          </w:p>
        </w:tc>
        <w:tc>
          <w:tcPr>
            <w:tcW w:type="dxa" w:w="3061"/>
            <w:vAlign w:val="center"/>
            <w:tcMar>
              <w:top w:w="100" w:type="dxa"/>
              <w:start w:w="120" w:type="dxa"/>
              <w:bottom w:w="100" w:type="dxa"/>
              <w:end w:w="120" w:type="dxa"/>
            </w:tcMar>
            <w:shd w:fill="F3F5F7"/>
          </w:tcPr>
          <w:p>
            <w:pPr>
              <w:spacing w:after="0"/>
            </w:pPr>
            <w:r/>
            <w:r>
              <w:rPr>
                <w:rFonts w:ascii="Aptos" w:hAnsi="Aptos"/>
                <w:b w:val="0"/>
                <w:color w:val="202B33"/>
                <w:sz w:val="17"/>
              </w:rPr>
              <w:t>NetSuite item master/custom alan</w:t>
            </w:r>
          </w:p>
        </w:tc>
      </w:tr>
      <w:tr>
        <w:trPr>
          <w:cantSplit/>
        </w:trPr>
        <w:tc>
          <w:tcPr>
            <w:tcW w:type="dxa" w:w="1984"/>
            <w:vAlign w:val="center"/>
            <w:tcMar>
              <w:top w:w="100" w:type="dxa"/>
              <w:start w:w="120" w:type="dxa"/>
              <w:bottom w:w="100" w:type="dxa"/>
              <w:end w:w="120" w:type="dxa"/>
            </w:tcMar>
          </w:tcPr>
          <w:p>
            <w:pPr>
              <w:spacing w:after="0"/>
            </w:pPr>
            <w:r/>
            <w:r>
              <w:rPr>
                <w:rFonts w:ascii="Aptos" w:hAnsi="Aptos"/>
                <w:b w:val="0"/>
                <w:color w:val="202B33"/>
                <w:sz w:val="17"/>
              </w:rPr>
              <w:t>Marka</w:t>
            </w:r>
          </w:p>
        </w:tc>
        <w:tc>
          <w:tcPr>
            <w:tcW w:type="dxa" w:w="4195"/>
            <w:vAlign w:val="center"/>
            <w:tcMar>
              <w:top w:w="100" w:type="dxa"/>
              <w:start w:w="120" w:type="dxa"/>
              <w:bottom w:w="100" w:type="dxa"/>
              <w:end w:w="120" w:type="dxa"/>
            </w:tcMar>
          </w:tcPr>
          <w:p>
            <w:pPr>
              <w:spacing w:after="0"/>
            </w:pPr>
            <w:r/>
            <w:r>
              <w:rPr>
                <w:rFonts w:ascii="Aptos" w:hAnsi="Aptos"/>
                <w:b w:val="0"/>
                <w:color w:val="202B33"/>
                <w:sz w:val="17"/>
              </w:rPr>
              <w:t>Örn. VSP</w:t>
            </w:r>
          </w:p>
        </w:tc>
        <w:tc>
          <w:tcPr>
            <w:tcW w:type="dxa" w:w="3061"/>
            <w:vAlign w:val="center"/>
            <w:tcMar>
              <w:top w:w="100" w:type="dxa"/>
              <w:start w:w="120" w:type="dxa"/>
              <w:bottom w:w="100" w:type="dxa"/>
              <w:end w:w="120" w:type="dxa"/>
            </w:tcMar>
          </w:tcPr>
          <w:p>
            <w:pPr>
              <w:spacing w:after="0"/>
            </w:pPr>
            <w:r/>
            <w:r>
              <w:rPr>
                <w:rFonts w:ascii="Aptos" w:hAnsi="Aptos"/>
                <w:b w:val="0"/>
                <w:color w:val="202B33"/>
                <w:sz w:val="17"/>
              </w:rPr>
              <w:t>NetSuite item master/custom alan</w:t>
            </w:r>
          </w:p>
        </w:tc>
      </w:tr>
      <w:tr>
        <w:trPr>
          <w:cantSplit/>
        </w:trPr>
        <w:tc>
          <w:tcPr>
            <w:tcW w:type="dxa" w:w="1984"/>
            <w:vAlign w:val="center"/>
            <w:tcMar>
              <w:top w:w="100" w:type="dxa"/>
              <w:start w:w="120" w:type="dxa"/>
              <w:bottom w:w="100" w:type="dxa"/>
              <w:end w:w="120" w:type="dxa"/>
            </w:tcMar>
            <w:shd w:fill="F3F5F7"/>
          </w:tcPr>
          <w:p>
            <w:pPr>
              <w:spacing w:after="0"/>
            </w:pPr>
            <w:r/>
            <w:r>
              <w:rPr>
                <w:rFonts w:ascii="Aptos" w:hAnsi="Aptos"/>
                <w:b w:val="0"/>
                <w:color w:val="202B33"/>
                <w:sz w:val="17"/>
              </w:rPr>
              <w:t>Hedef tarih aralığı</w:t>
            </w:r>
          </w:p>
        </w:tc>
        <w:tc>
          <w:tcPr>
            <w:tcW w:type="dxa" w:w="4195"/>
            <w:vAlign w:val="center"/>
            <w:tcMar>
              <w:top w:w="100" w:type="dxa"/>
              <w:start w:w="120" w:type="dxa"/>
              <w:bottom w:w="100" w:type="dxa"/>
              <w:end w:w="120" w:type="dxa"/>
            </w:tcMar>
            <w:shd w:fill="F3F5F7"/>
          </w:tcPr>
          <w:p>
            <w:pPr>
              <w:spacing w:after="0"/>
            </w:pPr>
            <w:r/>
            <w:r>
              <w:rPr>
                <w:rFonts w:ascii="Aptos" w:hAnsi="Aptos"/>
                <w:b w:val="0"/>
                <w:color w:val="202B33"/>
                <w:sz w:val="17"/>
              </w:rPr>
              <w:t>Başlangıç ve bitiş tarihi seçilir</w:t>
            </w:r>
          </w:p>
        </w:tc>
        <w:tc>
          <w:tcPr>
            <w:tcW w:type="dxa" w:w="3061"/>
            <w:vAlign w:val="center"/>
            <w:tcMar>
              <w:top w:w="100" w:type="dxa"/>
              <w:start w:w="120" w:type="dxa"/>
              <w:bottom w:w="100" w:type="dxa"/>
              <w:end w:w="120" w:type="dxa"/>
            </w:tcMar>
            <w:shd w:fill="F3F5F7"/>
          </w:tcPr>
          <w:p>
            <w:pPr>
              <w:spacing w:after="0"/>
            </w:pPr>
            <w:r/>
            <w:r>
              <w:rPr>
                <w:rFonts w:ascii="Aptos" w:hAnsi="Aptos"/>
                <w:b w:val="0"/>
                <w:color w:val="202B33"/>
                <w:sz w:val="17"/>
              </w:rPr>
              <w:t>Kullanıcı</w:t>
            </w:r>
          </w:p>
        </w:tc>
      </w:tr>
      <w:tr>
        <w:trPr>
          <w:cantSplit/>
        </w:trPr>
        <w:tc>
          <w:tcPr>
            <w:tcW w:type="dxa" w:w="1984"/>
            <w:vAlign w:val="center"/>
            <w:tcMar>
              <w:top w:w="100" w:type="dxa"/>
              <w:start w:w="120" w:type="dxa"/>
              <w:bottom w:w="100" w:type="dxa"/>
              <w:end w:w="120" w:type="dxa"/>
            </w:tcMar>
          </w:tcPr>
          <w:p>
            <w:pPr>
              <w:spacing w:after="0"/>
            </w:pPr>
            <w:r/>
            <w:r>
              <w:rPr>
                <w:rFonts w:ascii="Aptos" w:hAnsi="Aptos"/>
                <w:b w:val="0"/>
                <w:color w:val="202B33"/>
                <w:sz w:val="17"/>
              </w:rPr>
              <w:t>Referans dönem</w:t>
            </w:r>
          </w:p>
        </w:tc>
        <w:tc>
          <w:tcPr>
            <w:tcW w:type="dxa" w:w="4195"/>
            <w:vAlign w:val="center"/>
            <w:tcMar>
              <w:top w:w="100" w:type="dxa"/>
              <w:start w:w="120" w:type="dxa"/>
              <w:bottom w:w="100" w:type="dxa"/>
              <w:end w:w="120" w:type="dxa"/>
            </w:tcMar>
          </w:tcPr>
          <w:p>
            <w:pPr>
              <w:spacing w:after="0"/>
            </w:pPr>
            <w:r/>
            <w:r>
              <w:rPr>
                <w:rFonts w:ascii="Aptos" w:hAnsi="Aptos"/>
                <w:b w:val="0"/>
                <w:color w:val="202B33"/>
                <w:sz w:val="17"/>
              </w:rPr>
              <w:t>Hedef dönemin bir yıl önceki aynı tarih aralığı otomatik hesaplanır</w:t>
            </w:r>
          </w:p>
        </w:tc>
        <w:tc>
          <w:tcPr>
            <w:tcW w:type="dxa" w:w="3061"/>
            <w:vAlign w:val="center"/>
            <w:tcMar>
              <w:top w:w="100" w:type="dxa"/>
              <w:start w:w="120" w:type="dxa"/>
              <w:bottom w:w="100" w:type="dxa"/>
              <w:end w:w="120" w:type="dxa"/>
            </w:tcMar>
          </w:tcPr>
          <w:p>
            <w:pPr>
              <w:spacing w:after="0"/>
            </w:pPr>
            <w:r/>
            <w:r>
              <w:rPr>
                <w:rFonts w:ascii="Aptos" w:hAnsi="Aptos"/>
                <w:b w:val="0"/>
                <w:color w:val="202B33"/>
                <w:sz w:val="17"/>
              </w:rPr>
              <w:t>Sistem</w:t>
            </w:r>
          </w:p>
        </w:tc>
      </w:tr>
      <w:tr>
        <w:trPr>
          <w:cantSplit/>
        </w:trPr>
        <w:tc>
          <w:tcPr>
            <w:tcW w:type="dxa" w:w="1984"/>
            <w:vAlign w:val="center"/>
            <w:tcMar>
              <w:top w:w="100" w:type="dxa"/>
              <w:start w:w="120" w:type="dxa"/>
              <w:bottom w:w="100" w:type="dxa"/>
              <w:end w:w="120" w:type="dxa"/>
            </w:tcMar>
            <w:shd w:fill="F3F5F7"/>
          </w:tcPr>
          <w:p>
            <w:pPr>
              <w:spacing w:after="0"/>
            </w:pPr>
            <w:r/>
            <w:r>
              <w:rPr>
                <w:rFonts w:ascii="Aptos" w:hAnsi="Aptos"/>
                <w:b w:val="0"/>
                <w:color w:val="202B33"/>
                <w:sz w:val="17"/>
              </w:rPr>
              <w:t>Büyüme çarpanı</w:t>
            </w:r>
          </w:p>
        </w:tc>
        <w:tc>
          <w:tcPr>
            <w:tcW w:type="dxa" w:w="4195"/>
            <w:vAlign w:val="center"/>
            <w:tcMar>
              <w:top w:w="100" w:type="dxa"/>
              <w:start w:w="120" w:type="dxa"/>
              <w:bottom w:w="100" w:type="dxa"/>
              <w:end w:w="120" w:type="dxa"/>
            </w:tcMar>
            <w:shd w:fill="F3F5F7"/>
          </w:tcPr>
          <w:p>
            <w:pPr>
              <w:spacing w:after="0"/>
            </w:pPr>
            <w:r/>
            <w:r>
              <w:rPr>
                <w:rFonts w:ascii="Aptos" w:hAnsi="Aptos"/>
                <w:b w:val="0"/>
                <w:color w:val="202B33"/>
                <w:sz w:val="17"/>
              </w:rPr>
              <w:t>Pozitif ondalık değer; örn. 1,8</w:t>
            </w:r>
          </w:p>
        </w:tc>
        <w:tc>
          <w:tcPr>
            <w:tcW w:type="dxa" w:w="3061"/>
            <w:vAlign w:val="center"/>
            <w:tcMar>
              <w:top w:w="100" w:type="dxa"/>
              <w:start w:w="120" w:type="dxa"/>
              <w:bottom w:w="100" w:type="dxa"/>
              <w:end w:w="120" w:type="dxa"/>
            </w:tcMar>
            <w:shd w:fill="F3F5F7"/>
          </w:tcPr>
          <w:p>
            <w:pPr>
              <w:spacing w:after="0"/>
            </w:pPr>
            <w:r/>
            <w:r>
              <w:rPr>
                <w:rFonts w:ascii="Aptos" w:hAnsi="Aptos"/>
                <w:b w:val="0"/>
                <w:color w:val="202B33"/>
                <w:sz w:val="17"/>
              </w:rPr>
              <w:t>Kullanıcı</w:t>
            </w:r>
          </w:p>
        </w:tc>
      </w:tr>
    </w:tbl>
    <w:p>
      <w:pPr>
        <w:spacing w:after="0"/>
      </w:pPr>
    </w:p>
    <w:p>
      <w:pPr>
        <w:pStyle w:val="Heading2"/>
      </w:pPr>
      <w:r>
        <w:t>2.2 Temel çıktılar</w:t>
      </w:r>
    </w:p>
    <w:tbl>
      <w:tblPr>
        <w:tblStyle w:val="TableGrid"/>
        <w:tblW w:type="auto" w:w="0"/>
        <w:jc w:val="center"/>
        <w:tblLayout w:type="fixed"/>
        <w:tblLook w:firstColumn="1" w:firstRow="1" w:lastColumn="0" w:lastRow="0" w:noHBand="0" w:noVBand="1" w:val="04A0"/>
      </w:tblPr>
      <w:tblGrid>
        <w:gridCol w:w="4957"/>
        <w:gridCol w:w="4957"/>
      </w:tblGrid>
      <w:tr>
        <w:trPr>
          <w:tblHeader w:val="true"/>
          <w:cantSplit/>
        </w:trPr>
        <w:tc>
          <w:tcPr>
            <w:tcW w:type="dxa" w:w="2494"/>
            <w:vAlign w:val="center"/>
            <w:tcMar>
              <w:top w:w="100" w:type="dxa"/>
              <w:start w:w="120" w:type="dxa"/>
              <w:bottom w:w="100" w:type="dxa"/>
              <w:end w:w="120" w:type="dxa"/>
            </w:tcMar>
            <w:shd w:fill="17324D"/>
          </w:tcPr>
          <w:p>
            <w:pPr>
              <w:spacing w:after="0"/>
            </w:pPr>
            <w:r/>
            <w:r>
              <w:rPr>
                <w:rFonts w:ascii="Aptos" w:hAnsi="Aptos"/>
                <w:b/>
                <w:color w:val="FFFFFF"/>
                <w:sz w:val="16"/>
              </w:rPr>
              <w:t>Çıktı</w:t>
            </w:r>
          </w:p>
        </w:tc>
        <w:tc>
          <w:tcPr>
            <w:tcW w:type="dxa" w:w="6746"/>
            <w:vAlign w:val="center"/>
            <w:tcMar>
              <w:top w:w="100" w:type="dxa"/>
              <w:start w:w="120" w:type="dxa"/>
              <w:bottom w:w="100" w:type="dxa"/>
              <w:end w:w="120" w:type="dxa"/>
            </w:tcMar>
            <w:shd w:fill="17324D"/>
          </w:tcPr>
          <w:p>
            <w:pPr>
              <w:spacing w:after="0"/>
            </w:pPr>
            <w:r/>
            <w:r>
              <w:rPr>
                <w:rFonts w:ascii="Aptos" w:hAnsi="Aptos"/>
                <w:b/>
                <w:color w:val="FFFFFF"/>
                <w:sz w:val="16"/>
              </w:rPr>
              <w:t>İçerik</w:t>
            </w:r>
          </w:p>
        </w:tc>
      </w:tr>
      <w:tr>
        <w:trPr>
          <w:cantSplit/>
        </w:trPr>
        <w:tc>
          <w:tcPr>
            <w:tcW w:type="dxa" w:w="2494"/>
            <w:vAlign w:val="center"/>
            <w:tcMar>
              <w:top w:w="100" w:type="dxa"/>
              <w:start w:w="120" w:type="dxa"/>
              <w:bottom w:w="100" w:type="dxa"/>
              <w:end w:w="120" w:type="dxa"/>
            </w:tcMar>
          </w:tcPr>
          <w:p>
            <w:pPr>
              <w:spacing w:after="0"/>
            </w:pPr>
            <w:r/>
            <w:r>
              <w:rPr>
                <w:rFonts w:ascii="Aptos" w:hAnsi="Aptos"/>
                <w:b w:val="0"/>
                <w:color w:val="202B33"/>
                <w:sz w:val="17"/>
              </w:rPr>
              <w:t>Satış tahmini</w:t>
            </w:r>
          </w:p>
        </w:tc>
        <w:tc>
          <w:tcPr>
            <w:tcW w:type="dxa" w:w="6746"/>
            <w:vAlign w:val="center"/>
            <w:tcMar>
              <w:top w:w="100" w:type="dxa"/>
              <w:start w:w="120" w:type="dxa"/>
              <w:bottom w:w="100" w:type="dxa"/>
              <w:end w:w="120" w:type="dxa"/>
            </w:tcMar>
          </w:tcPr>
          <w:p>
            <w:pPr>
              <w:spacing w:after="0"/>
            </w:pPr>
            <w:r/>
            <w:r>
              <w:rPr>
                <w:rFonts w:ascii="Aptos" w:hAnsi="Aptos"/>
                <w:b w:val="0"/>
                <w:color w:val="202B33"/>
                <w:sz w:val="17"/>
              </w:rPr>
              <w:t>Ürün ve beden bazında geçen yıl aynı dönem net satış × büyüme çarpanı</w:t>
            </w:r>
          </w:p>
        </w:tc>
      </w:tr>
      <w:tr>
        <w:trPr>
          <w:cantSplit/>
        </w:trPr>
        <w:tc>
          <w:tcPr>
            <w:tcW w:type="dxa" w:w="2494"/>
            <w:vAlign w:val="center"/>
            <w:tcMar>
              <w:top w:w="100" w:type="dxa"/>
              <w:start w:w="120" w:type="dxa"/>
              <w:bottom w:w="100" w:type="dxa"/>
              <w:end w:w="120" w:type="dxa"/>
            </w:tcMar>
            <w:shd w:fill="F3F5F7"/>
          </w:tcPr>
          <w:p>
            <w:pPr>
              <w:spacing w:after="0"/>
            </w:pPr>
            <w:r/>
            <w:r>
              <w:rPr>
                <w:rFonts w:ascii="Aptos" w:hAnsi="Aptos"/>
                <w:b w:val="0"/>
                <w:color w:val="202B33"/>
                <w:sz w:val="17"/>
              </w:rPr>
              <w:t>Üretim ihtiyacı</w:t>
            </w:r>
          </w:p>
        </w:tc>
        <w:tc>
          <w:tcPr>
            <w:tcW w:type="dxa" w:w="6746"/>
            <w:vAlign w:val="center"/>
            <w:tcMar>
              <w:top w:w="100" w:type="dxa"/>
              <w:start w:w="120" w:type="dxa"/>
              <w:bottom w:w="100" w:type="dxa"/>
              <w:end w:w="120" w:type="dxa"/>
            </w:tcMar>
            <w:shd w:fill="F3F5F7"/>
          </w:tcPr>
          <w:p>
            <w:pPr>
              <w:spacing w:after="0"/>
            </w:pPr>
            <w:r/>
            <w:r>
              <w:rPr>
                <w:rFonts w:ascii="Aptos" w:hAnsi="Aptos"/>
                <w:b w:val="0"/>
                <w:color w:val="202B33"/>
                <w:sz w:val="17"/>
              </w:rPr>
              <w:t>Ürün/beden tahmini − mevcut satılabilir stok; sıfırın altına düşmez</w:t>
            </w:r>
          </w:p>
        </w:tc>
      </w:tr>
      <w:tr>
        <w:trPr>
          <w:cantSplit/>
        </w:trPr>
        <w:tc>
          <w:tcPr>
            <w:tcW w:type="dxa" w:w="2494"/>
            <w:vAlign w:val="center"/>
            <w:tcMar>
              <w:top w:w="100" w:type="dxa"/>
              <w:start w:w="120" w:type="dxa"/>
              <w:bottom w:w="100" w:type="dxa"/>
              <w:end w:w="120" w:type="dxa"/>
            </w:tcMar>
          </w:tcPr>
          <w:p>
            <w:pPr>
              <w:spacing w:after="0"/>
            </w:pPr>
            <w:r/>
            <w:r>
              <w:rPr>
                <w:rFonts w:ascii="Aptos" w:hAnsi="Aptos"/>
                <w:b w:val="0"/>
                <w:color w:val="202B33"/>
                <w:sz w:val="17"/>
              </w:rPr>
              <w:t>Üretim önceliği</w:t>
            </w:r>
          </w:p>
        </w:tc>
        <w:tc>
          <w:tcPr>
            <w:tcW w:type="dxa" w:w="6746"/>
            <w:vAlign w:val="center"/>
            <w:tcMar>
              <w:top w:w="100" w:type="dxa"/>
              <w:start w:w="120" w:type="dxa"/>
              <w:bottom w:w="100" w:type="dxa"/>
              <w:end w:w="120" w:type="dxa"/>
            </w:tcMar>
          </w:tcPr>
          <w:p>
            <w:pPr>
              <w:spacing w:after="0"/>
            </w:pPr>
            <w:r/>
            <w:r>
              <w:rPr>
                <w:rFonts w:ascii="Aptos" w:hAnsi="Aptos"/>
                <w:b w:val="0"/>
                <w:color w:val="202B33"/>
                <w:sz w:val="17"/>
              </w:rPr>
              <w:t>Stok kapsaması ve açık büyüklüğüne dayalı deterministik öncelik</w:t>
            </w:r>
          </w:p>
        </w:tc>
      </w:tr>
      <w:tr>
        <w:trPr>
          <w:cantSplit/>
        </w:trPr>
        <w:tc>
          <w:tcPr>
            <w:tcW w:type="dxa" w:w="2494"/>
            <w:vAlign w:val="center"/>
            <w:tcMar>
              <w:top w:w="100" w:type="dxa"/>
              <w:start w:w="120" w:type="dxa"/>
              <w:bottom w:w="100" w:type="dxa"/>
              <w:end w:w="120" w:type="dxa"/>
            </w:tcMar>
            <w:shd w:fill="F3F5F7"/>
          </w:tcPr>
          <w:p>
            <w:pPr>
              <w:spacing w:after="0"/>
            </w:pPr>
            <w:r/>
            <w:r>
              <w:rPr>
                <w:rFonts w:ascii="Aptos" w:hAnsi="Aptos"/>
                <w:b w:val="0"/>
                <w:color w:val="202B33"/>
                <w:sz w:val="17"/>
              </w:rPr>
              <w:t>Depo alokasyonu</w:t>
            </w:r>
          </w:p>
        </w:tc>
        <w:tc>
          <w:tcPr>
            <w:tcW w:type="dxa" w:w="6746"/>
            <w:vAlign w:val="center"/>
            <w:tcMar>
              <w:top w:w="100" w:type="dxa"/>
              <w:start w:w="120" w:type="dxa"/>
              <w:bottom w:w="100" w:type="dxa"/>
              <w:end w:w="120" w:type="dxa"/>
            </w:tcMar>
            <w:shd w:fill="F3F5F7"/>
          </w:tcPr>
          <w:p>
            <w:pPr>
              <w:spacing w:after="0"/>
            </w:pPr>
            <w:r/>
            <w:r>
              <w:rPr>
                <w:rFonts w:ascii="Aptos" w:hAnsi="Aptos"/>
                <w:b w:val="0"/>
                <w:color w:val="202B33"/>
                <w:sz w:val="17"/>
              </w:rPr>
              <w:t>Üretilecek adedin Zalando Marketplace, Ekol ve Paris Shop depolarına önerilen dağılımı</w:t>
            </w:r>
          </w:p>
        </w:tc>
      </w:tr>
      <w:tr>
        <w:trPr>
          <w:cantSplit/>
        </w:trPr>
        <w:tc>
          <w:tcPr>
            <w:tcW w:type="dxa" w:w="2494"/>
            <w:vAlign w:val="center"/>
            <w:tcMar>
              <w:top w:w="100" w:type="dxa"/>
              <w:start w:w="120" w:type="dxa"/>
              <w:bottom w:w="100" w:type="dxa"/>
              <w:end w:w="120" w:type="dxa"/>
            </w:tcMar>
          </w:tcPr>
          <w:p>
            <w:pPr>
              <w:spacing w:after="0"/>
            </w:pPr>
            <w:r/>
            <w:r>
              <w:rPr>
                <w:rFonts w:ascii="Aptos" w:hAnsi="Aptos"/>
                <w:b w:val="0"/>
                <w:color w:val="202B33"/>
                <w:sz w:val="17"/>
              </w:rPr>
              <w:t>Hesap izi</w:t>
            </w:r>
          </w:p>
        </w:tc>
        <w:tc>
          <w:tcPr>
            <w:tcW w:type="dxa" w:w="6746"/>
            <w:vAlign w:val="center"/>
            <w:tcMar>
              <w:top w:w="100" w:type="dxa"/>
              <w:start w:w="120" w:type="dxa"/>
              <w:bottom w:w="100" w:type="dxa"/>
              <w:end w:w="120" w:type="dxa"/>
            </w:tcMar>
          </w:tcPr>
          <w:p>
            <w:pPr>
              <w:spacing w:after="0"/>
            </w:pPr>
            <w:r/>
            <w:r>
              <w:rPr>
                <w:rFonts w:ascii="Aptos" w:hAnsi="Aptos"/>
                <w:b w:val="0"/>
                <w:color w:val="202B33"/>
                <w:sz w:val="17"/>
              </w:rPr>
              <w:t>Net satış, çarpan, tahmin, stok, ihtiyaç, depo payları ve alokasyon gerekçesi</w:t>
            </w:r>
          </w:p>
        </w:tc>
      </w:tr>
      <w:tr>
        <w:trPr>
          <w:cantSplit/>
        </w:trPr>
        <w:tc>
          <w:tcPr>
            <w:tcW w:type="dxa" w:w="2494"/>
            <w:vAlign w:val="center"/>
            <w:tcMar>
              <w:top w:w="100" w:type="dxa"/>
              <w:start w:w="120" w:type="dxa"/>
              <w:bottom w:w="100" w:type="dxa"/>
              <w:end w:w="120" w:type="dxa"/>
            </w:tcMar>
            <w:shd w:fill="F3F5F7"/>
          </w:tcPr>
          <w:p>
            <w:pPr>
              <w:spacing w:after="0"/>
            </w:pPr>
            <w:r/>
            <w:r>
              <w:rPr>
                <w:rFonts w:ascii="Aptos" w:hAnsi="Aptos"/>
                <w:b w:val="0"/>
                <w:color w:val="202B33"/>
                <w:sz w:val="17"/>
              </w:rPr>
              <w:t>Dışa aktarım</w:t>
            </w:r>
          </w:p>
        </w:tc>
        <w:tc>
          <w:tcPr>
            <w:tcW w:type="dxa" w:w="6746"/>
            <w:vAlign w:val="center"/>
            <w:tcMar>
              <w:top w:w="100" w:type="dxa"/>
              <w:start w:w="120" w:type="dxa"/>
              <w:bottom w:w="100" w:type="dxa"/>
              <w:end w:w="120" w:type="dxa"/>
            </w:tcMar>
            <w:shd w:fill="F3F5F7"/>
          </w:tcPr>
          <w:p>
            <w:pPr>
              <w:spacing w:after="0"/>
            </w:pPr>
            <w:r/>
            <w:r>
              <w:rPr>
                <w:rFonts w:ascii="Aptos" w:hAnsi="Aptos"/>
                <w:b w:val="0"/>
                <w:color w:val="202B33"/>
                <w:sz w:val="17"/>
              </w:rPr>
              <w:t>Ekran sonucu ve Excel/CSV çıktısı</w:t>
            </w:r>
          </w:p>
        </w:tc>
      </w:tr>
    </w:tbl>
    <w:p>
      <w:pPr>
        <w:spacing w:after="0"/>
      </w:pPr>
    </w:p>
    <w:p>
      <w:pPr>
        <w:pStyle w:val="Heading1"/>
      </w:pPr>
      <w:r>
        <w:t>3. Hesaplama metodolojisi</w:t>
      </w:r>
    </w:p>
    <w:p>
      <w:pPr>
        <w:pStyle w:val="Heading2"/>
      </w:pPr>
      <w:r>
        <w:t>3.1 Net satış</w:t>
      </w:r>
    </w:p>
    <w:tbl>
      <w:tblPr>
        <w:tblW w:type="auto" w:w="0"/>
        <w:tblLook w:firstColumn="1" w:firstRow="1" w:lastColumn="0" w:lastRow="0" w:noHBand="0" w:noVBand="1" w:val="04A0"/>
      </w:tblPr>
      <w:tblGrid>
        <w:gridCol w:w="9915"/>
      </w:tblGrid>
      <w:tr>
        <w:tc>
          <w:tcPr>
            <w:tcW w:type="dxa" w:w="9915"/>
            <w:shd w:fill="17324D"/>
            <w:tcMar>
              <w:top w:w="180" w:type="dxa"/>
              <w:start w:w="250" w:type="dxa"/>
              <w:bottom w:w="180" w:type="dxa"/>
              <w:end w:w="250" w:type="dxa"/>
            </w:tcMar>
          </w:tcPr>
          <w:p>
            <w:pPr>
              <w:jc w:val="center"/>
            </w:pPr>
            <w:r/>
            <w:r>
              <w:rPr>
                <w:rFonts w:ascii="Aptos Mono" w:hAnsi="Aptos Mono"/>
                <w:b/>
                <w:color w:val="FFFFFF"/>
                <w:sz w:val="19"/>
              </w:rPr>
              <w:t>Eş dönem net satış = gerçekleşmiş brüt satış − gerçekleşmiş iade</w:t>
            </w:r>
          </w:p>
        </w:tc>
      </w:tr>
    </w:tbl>
    <w:p>
      <w:pPr>
        <w:jc w:val="center"/>
      </w:pPr>
      <w:r>
        <w:rPr>
          <w:i/>
          <w:color w:val="66717E"/>
          <w:sz w:val="17"/>
        </w:rPr>
        <w:t>Hesap ürün + beden seviyesinde yapılır; iade mümkünse kaynak sipariş/satış kanalına ve karşılama lokasyonuna bağlanır.</w:t>
      </w:r>
    </w:p>
    <w:p>
      <w:r>
        <w:t>Aynı satışın Invoice ve Item Fulfillment kayıtlarında iki kez sayılmaması gerekir. Net satışın doğru hesaplanması için satış ve iade kayıtları ürün, beden, işlem tarihi, order type ve fulfillment location boyutlarında mutabık hale getirilecektir.</w:t>
      </w:r>
    </w:p>
    <w:p>
      <w:pPr>
        <w:pStyle w:val="Heading2"/>
      </w:pPr>
      <w:r>
        <w:t>3.2 Satış tahmini</w:t>
      </w:r>
    </w:p>
    <w:tbl>
      <w:tblPr>
        <w:tblW w:type="auto" w:w="0"/>
        <w:tblLook w:firstColumn="1" w:firstRow="1" w:lastColumn="0" w:lastRow="0" w:noHBand="0" w:noVBand="1" w:val="04A0"/>
      </w:tblPr>
      <w:tblGrid>
        <w:gridCol w:w="9915"/>
      </w:tblGrid>
      <w:tr>
        <w:tc>
          <w:tcPr>
            <w:tcW w:type="dxa" w:w="9915"/>
            <w:shd w:fill="17324D"/>
            <w:tcMar>
              <w:top w:w="180" w:type="dxa"/>
              <w:start w:w="250" w:type="dxa"/>
              <w:bottom w:w="180" w:type="dxa"/>
              <w:end w:w="250" w:type="dxa"/>
            </w:tcMar>
          </w:tcPr>
          <w:p>
            <w:pPr>
              <w:jc w:val="center"/>
            </w:pPr>
            <w:r/>
            <w:r>
              <w:rPr>
                <w:rFonts w:ascii="Aptos Mono" w:hAnsi="Aptos Mono"/>
                <w:b/>
                <w:color w:val="FFFFFF"/>
                <w:sz w:val="19"/>
              </w:rPr>
              <w:t>Ürün/beden satış tahmini</w:t>
            </w:r>
            <w:r>
              <w:br/>
            </w:r>
            <w:r>
              <w:rPr>
                <w:rFonts w:ascii="Aptos Mono" w:hAnsi="Aptos Mono"/>
                <w:b/>
                <w:color w:val="FFFFFF"/>
                <w:sz w:val="19"/>
              </w:rPr>
              <w:t>= geçen yıl aynı dönem ürün/beden net satışı × büyüme çarpanı</w:t>
            </w:r>
          </w:p>
        </w:tc>
      </w:tr>
    </w:tbl>
    <w:p>
      <w:pPr>
        <w:spacing w:after="0"/>
      </w:pPr>
    </w:p>
    <w:p>
      <w:r>
        <w:t>Hedef dönemin başlangıç ve bitiş tarihleri bir yıl geriye alınarak referans dönem otomatik belirlenir. Takvimde 29 Şubat gibi özel tarihler bulunursa sistem geçerli takvim gününe göre kontrollü eşleme yapar. Tahmin sonucu tam adede, önceden mutabık kalınacak yuvarlama kuralıyla dönüştürülür; öneri yukarı yuvarlamadır.</w:t>
      </w:r>
    </w:p>
    <w:p>
      <w:pPr>
        <w:pStyle w:val="Heading2"/>
      </w:pPr>
      <w:r>
        <w:t>3.3 Satılabilir stok</w:t>
      </w:r>
    </w:p>
    <w:p>
      <w:r>
        <w:t>Üretim ihtiyacından düşülecek stok, fiziksel on-hand toplamı değil NetSuite'te satışa gerçekten açık miktardır. Zalando için Zalando Offerable; Ekol ve Paris için ilgili lokasyondaki satılabilir/available stok kullanılacaktır. Bloke, kalite kontrol, rezerve veya siparişe taahhüt edilmiş miktarların hangi NetSuite alanıyla dışlandığı veri keşfinde kesinleştirilecektir.</w:t>
      </w:r>
    </w:p>
    <w:p>
      <w:pPr>
        <w:pStyle w:val="Heading2"/>
      </w:pPr>
      <w:r>
        <w:t>3.4 Üretim ihtiyacı</w:t>
      </w:r>
    </w:p>
    <w:tbl>
      <w:tblPr>
        <w:tblW w:type="auto" w:w="0"/>
        <w:tblLook w:firstColumn="1" w:firstRow="1" w:lastColumn="0" w:lastRow="0" w:noHBand="0" w:noVBand="1" w:val="04A0"/>
      </w:tblPr>
      <w:tblGrid>
        <w:gridCol w:w="9915"/>
      </w:tblGrid>
      <w:tr>
        <w:tc>
          <w:tcPr>
            <w:tcW w:type="dxa" w:w="9915"/>
            <w:shd w:fill="17324D"/>
            <w:tcMar>
              <w:top w:w="180" w:type="dxa"/>
              <w:start w:w="250" w:type="dxa"/>
              <w:bottom w:w="180" w:type="dxa"/>
              <w:end w:w="250" w:type="dxa"/>
            </w:tcMar>
          </w:tcPr>
          <w:p>
            <w:pPr>
              <w:jc w:val="center"/>
            </w:pPr>
            <w:r/>
            <w:r>
              <w:rPr>
                <w:rFonts w:ascii="Aptos Mono" w:hAnsi="Aptos Mono"/>
                <w:b/>
                <w:color w:val="FFFFFF"/>
                <w:sz w:val="19"/>
              </w:rPr>
              <w:t>Ürün/beden üretim ihtiyacı</w:t>
            </w:r>
            <w:r>
              <w:br/>
            </w:r>
            <w:r>
              <w:rPr>
                <w:rFonts w:ascii="Aptos Mono" w:hAnsi="Aptos Mono"/>
                <w:b/>
                <w:color w:val="FFFFFF"/>
                <w:sz w:val="19"/>
              </w:rPr>
              <w:t>= max(0, ürün/beden tahmini − toplam satılabilir mevcut stok)</w:t>
            </w:r>
          </w:p>
        </w:tc>
      </w:tr>
    </w:tbl>
    <w:p>
      <w:pPr>
        <w:spacing w:after="0"/>
      </w:pPr>
    </w:p>
    <w:p>
      <w:r>
        <w:t>İlk sürümde açık Purchase Order, yoldaki inbound veya açık Work Order'ın üretim ihtiyacından düşülmesi talep metninde yer almadığından kapsam dışıdır. Vizyon Deri bu kayıtların da düşülmesini isterse veri entegrasyonu ve test kapsamına eklenmelidir.</w:t>
      </w:r>
    </w:p>
    <w:p>
      <w:pPr>
        <w:pStyle w:val="Heading2"/>
      </w:pPr>
      <w:r>
        <w:t>3.5 Üretim önceliği</w:t>
      </w:r>
    </w:p>
    <w:p>
      <w:r>
        <w:t>Üretim önceliği öznel bir skor yerine açıklanabilir bir sıralama ile belirlenecektir. Önerilen sıralama aşağıdadır; iş birimi onayıyla sabitlenecektir.</w:t>
      </w:r>
    </w:p>
    <w:p>
      <w:pPr>
        <w:pStyle w:val="ListBullet"/>
      </w:pPr>
      <w:r>
        <w:t>Öncelik 1: Tahmini talebi bulunan ve satılabilir stoğu sıfır olan ürün/bedenler.</w:t>
      </w:r>
    </w:p>
    <w:p>
      <w:pPr>
        <w:pStyle w:val="ListBullet"/>
      </w:pPr>
      <w:r>
        <w:t>Öncelik 2: Stok kapsama oranı en düşük olan ürün/bedenler. Kapsama = stok / tahmin.</w:t>
      </w:r>
    </w:p>
    <w:p>
      <w:pPr>
        <w:pStyle w:val="ListBullet"/>
      </w:pPr>
      <w:r>
        <w:t>Öncelik 3: Üretim açığı adedi daha yüksek olanlar.</w:t>
      </w:r>
    </w:p>
    <w:p>
      <w:pPr>
        <w:pStyle w:val="ListBullet"/>
      </w:pPr>
      <w:r>
        <w:t>Öncelik 4: Eşitlik halinde geçen yıl aynı dönem net satışı daha yüksek olanlar.</w:t>
      </w:r>
    </w:p>
    <w:p>
      <w:r>
        <w:t>Bu sıralama, hangi satırın neden daha önce üretime alınması gerektiğini açıklar. MOQ, üretim katı, kapasite, termin veya ham madde uygunluğu ilk sürüme dahil edilecekse ayrıca veri ve kural tanımı gerekir; mevcut müşteri talebinde bunlar zorunlu unsur olarak belirtilmemiştir.</w:t>
      </w:r>
    </w:p>
    <w:p>
      <w:pPr>
        <w:pStyle w:val="Heading1"/>
      </w:pPr>
      <w:r>
        <w:t>4. Depo alokasyon metodolojisi</w:t>
      </w:r>
    </w:p>
    <w:p>
      <w:pPr>
        <w:pStyle w:val="Heading2"/>
      </w:pPr>
      <w:r>
        <w:t>4.1 Siparişlerin depo talebine sınıflandırılması</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3515"/>
            <w:vAlign w:val="center"/>
            <w:tcMar>
              <w:top w:w="100" w:type="dxa"/>
              <w:start w:w="120" w:type="dxa"/>
              <w:bottom w:w="100" w:type="dxa"/>
              <w:end w:w="120" w:type="dxa"/>
            </w:tcMar>
            <w:shd w:fill="17324D"/>
          </w:tcPr>
          <w:p>
            <w:pPr>
              <w:spacing w:after="0"/>
            </w:pPr>
            <w:r/>
            <w:r>
              <w:rPr>
                <w:rFonts w:ascii="Aptos" w:hAnsi="Aptos"/>
                <w:b/>
                <w:color w:val="FFFFFF"/>
                <w:sz w:val="16"/>
              </w:rPr>
              <w:t>Satış kaydı</w:t>
            </w:r>
          </w:p>
        </w:tc>
        <w:tc>
          <w:tcPr>
            <w:tcW w:type="dxa" w:w="2891"/>
            <w:vAlign w:val="center"/>
            <w:tcMar>
              <w:top w:w="100" w:type="dxa"/>
              <w:start w:w="120" w:type="dxa"/>
              <w:bottom w:w="100" w:type="dxa"/>
              <w:end w:w="120" w:type="dxa"/>
            </w:tcMar>
            <w:shd w:fill="17324D"/>
          </w:tcPr>
          <w:p>
            <w:pPr>
              <w:spacing w:after="0"/>
            </w:pPr>
            <w:r/>
            <w:r>
              <w:rPr>
                <w:rFonts w:ascii="Aptos" w:hAnsi="Aptos"/>
                <w:b/>
                <w:color w:val="FFFFFF"/>
                <w:sz w:val="16"/>
              </w:rPr>
              <w:t>Talep deposu</w:t>
            </w:r>
          </w:p>
        </w:tc>
        <w:tc>
          <w:tcPr>
            <w:tcW w:type="dxa" w:w="2835"/>
            <w:vAlign w:val="center"/>
            <w:tcMar>
              <w:top w:w="100" w:type="dxa"/>
              <w:start w:w="120" w:type="dxa"/>
              <w:bottom w:w="100" w:type="dxa"/>
              <w:end w:w="120" w:type="dxa"/>
            </w:tcMar>
            <w:shd w:fill="17324D"/>
          </w:tcPr>
          <w:p>
            <w:pPr>
              <w:spacing w:after="0"/>
            </w:pPr>
            <w:r/>
            <w:r>
              <w:rPr>
                <w:rFonts w:ascii="Aptos" w:hAnsi="Aptos"/>
                <w:b/>
                <w:color w:val="FFFFFF"/>
                <w:sz w:val="16"/>
              </w:rPr>
              <w:t>Belirleyici alan</w:t>
            </w:r>
          </w:p>
        </w:tc>
      </w:tr>
      <w:tr>
        <w:trPr>
          <w:cantSplit/>
        </w:trPr>
        <w:tc>
          <w:tcPr>
            <w:tcW w:type="dxa" w:w="3515"/>
            <w:vAlign w:val="center"/>
            <w:tcMar>
              <w:top w:w="100" w:type="dxa"/>
              <w:start w:w="120" w:type="dxa"/>
              <w:bottom w:w="100" w:type="dxa"/>
              <w:end w:w="120" w:type="dxa"/>
            </w:tcMar>
          </w:tcPr>
          <w:p>
            <w:pPr>
              <w:spacing w:after="0"/>
            </w:pPr>
            <w:r/>
            <w:r>
              <w:rPr>
                <w:rFonts w:ascii="Aptos" w:hAnsi="Aptos"/>
                <w:b w:val="0"/>
                <w:color w:val="202B33"/>
                <w:sz w:val="16"/>
              </w:rPr>
              <w:t>Zalando Marketplace + Zalando Fulfilled</w:t>
            </w:r>
          </w:p>
        </w:tc>
        <w:tc>
          <w:tcPr>
            <w:tcW w:type="dxa" w:w="2891"/>
            <w:vAlign w:val="center"/>
            <w:tcMar>
              <w:top w:w="100" w:type="dxa"/>
              <w:start w:w="120" w:type="dxa"/>
              <w:bottom w:w="100" w:type="dxa"/>
              <w:end w:w="120" w:type="dxa"/>
            </w:tcMar>
          </w:tcPr>
          <w:p>
            <w:pPr>
              <w:spacing w:after="0"/>
            </w:pPr>
            <w:r/>
            <w:r>
              <w:rPr>
                <w:rFonts w:ascii="Aptos" w:hAnsi="Aptos"/>
                <w:b w:val="0"/>
                <w:color w:val="202B33"/>
                <w:sz w:val="16"/>
              </w:rPr>
              <w:t>Zalando Marketplace / Zalando Offerable</w:t>
            </w:r>
          </w:p>
        </w:tc>
        <w:tc>
          <w:tcPr>
            <w:tcW w:type="dxa" w:w="2835"/>
            <w:vAlign w:val="center"/>
            <w:tcMar>
              <w:top w:w="100" w:type="dxa"/>
              <w:start w:w="120" w:type="dxa"/>
              <w:bottom w:w="100" w:type="dxa"/>
              <w:end w:w="120" w:type="dxa"/>
            </w:tcMar>
          </w:tcPr>
          <w:p>
            <w:pPr>
              <w:spacing w:after="0"/>
            </w:pPr>
            <w:r/>
            <w:r>
              <w:rPr>
                <w:rFonts w:ascii="Aptos" w:hAnsi="Aptos"/>
                <w:b w:val="0"/>
                <w:color w:val="202B33"/>
                <w:sz w:val="16"/>
              </w:rPr>
              <w:t>Zalando Order Type</w:t>
            </w:r>
          </w:p>
        </w:tc>
      </w:tr>
      <w:tr>
        <w:trPr>
          <w:cantSplit/>
        </w:trPr>
        <w:tc>
          <w:tcPr>
            <w:tcW w:type="dxa" w:w="3515"/>
            <w:vAlign w:val="center"/>
            <w:tcMar>
              <w:top w:w="100" w:type="dxa"/>
              <w:start w:w="120" w:type="dxa"/>
              <w:bottom w:w="100" w:type="dxa"/>
              <w:end w:w="120" w:type="dxa"/>
            </w:tcMar>
            <w:shd w:fill="F3F5F7"/>
          </w:tcPr>
          <w:p>
            <w:pPr>
              <w:spacing w:after="0"/>
            </w:pPr>
            <w:r/>
            <w:r>
              <w:rPr>
                <w:rFonts w:ascii="Aptos" w:hAnsi="Aptos"/>
                <w:b w:val="0"/>
                <w:color w:val="202B33"/>
                <w:sz w:val="16"/>
              </w:rPr>
              <w:t>Zalando Marketplace + Partner Fulfilled + Ekol</w:t>
            </w:r>
          </w:p>
        </w:tc>
        <w:tc>
          <w:tcPr>
            <w:tcW w:type="dxa" w:w="2891"/>
            <w:vAlign w:val="center"/>
            <w:tcMar>
              <w:top w:w="100" w:type="dxa"/>
              <w:start w:w="120" w:type="dxa"/>
              <w:bottom w:w="100" w:type="dxa"/>
              <w:end w:w="120" w:type="dxa"/>
            </w:tcMar>
            <w:shd w:fill="F3F5F7"/>
          </w:tcPr>
          <w:p>
            <w:pPr>
              <w:spacing w:after="0"/>
            </w:pPr>
            <w:r/>
            <w:r>
              <w:rPr>
                <w:rFonts w:ascii="Aptos" w:hAnsi="Aptos"/>
                <w:b w:val="0"/>
                <w:color w:val="202B33"/>
                <w:sz w:val="16"/>
              </w:rPr>
              <w:t>Ekol</w:t>
            </w:r>
          </w:p>
        </w:tc>
        <w:tc>
          <w:tcPr>
            <w:tcW w:type="dxa" w:w="2835"/>
            <w:vAlign w:val="center"/>
            <w:tcMar>
              <w:top w:w="100" w:type="dxa"/>
              <w:start w:w="120" w:type="dxa"/>
              <w:bottom w:w="100" w:type="dxa"/>
              <w:end w:w="120" w:type="dxa"/>
            </w:tcMar>
            <w:shd w:fill="F3F5F7"/>
          </w:tcPr>
          <w:p>
            <w:pPr>
              <w:spacing w:after="0"/>
            </w:pPr>
            <w:r/>
            <w:r>
              <w:rPr>
                <w:rFonts w:ascii="Aptos" w:hAnsi="Aptos"/>
                <w:b w:val="0"/>
                <w:color w:val="202B33"/>
                <w:sz w:val="16"/>
              </w:rPr>
              <w:t>Order Type + fulfillment location</w:t>
            </w:r>
          </w:p>
        </w:tc>
      </w:tr>
      <w:tr>
        <w:trPr>
          <w:cantSplit/>
        </w:trPr>
        <w:tc>
          <w:tcPr>
            <w:tcW w:type="dxa" w:w="3515"/>
            <w:vAlign w:val="center"/>
            <w:tcMar>
              <w:top w:w="100" w:type="dxa"/>
              <w:start w:w="120" w:type="dxa"/>
              <w:bottom w:w="100" w:type="dxa"/>
              <w:end w:w="120" w:type="dxa"/>
            </w:tcMar>
          </w:tcPr>
          <w:p>
            <w:pPr>
              <w:spacing w:after="0"/>
            </w:pPr>
            <w:r/>
            <w:r>
              <w:rPr>
                <w:rFonts w:ascii="Aptos" w:hAnsi="Aptos"/>
                <w:b w:val="0"/>
                <w:color w:val="202B33"/>
                <w:sz w:val="16"/>
              </w:rPr>
              <w:t>Zalando Marketplace + Partner Fulfilled + Paris</w:t>
            </w:r>
          </w:p>
        </w:tc>
        <w:tc>
          <w:tcPr>
            <w:tcW w:type="dxa" w:w="2891"/>
            <w:vAlign w:val="center"/>
            <w:tcMar>
              <w:top w:w="100" w:type="dxa"/>
              <w:start w:w="120" w:type="dxa"/>
              <w:bottom w:w="100" w:type="dxa"/>
              <w:end w:w="120" w:type="dxa"/>
            </w:tcMar>
          </w:tcPr>
          <w:p>
            <w:pPr>
              <w:spacing w:after="0"/>
            </w:pPr>
            <w:r/>
            <w:r>
              <w:rPr>
                <w:rFonts w:ascii="Aptos" w:hAnsi="Aptos"/>
                <w:b w:val="0"/>
                <w:color w:val="202B33"/>
                <w:sz w:val="16"/>
              </w:rPr>
              <w:t>Paris Shop</w:t>
            </w:r>
          </w:p>
        </w:tc>
        <w:tc>
          <w:tcPr>
            <w:tcW w:type="dxa" w:w="2835"/>
            <w:vAlign w:val="center"/>
            <w:tcMar>
              <w:top w:w="100" w:type="dxa"/>
              <w:start w:w="120" w:type="dxa"/>
              <w:bottom w:w="100" w:type="dxa"/>
              <w:end w:w="120" w:type="dxa"/>
            </w:tcMar>
          </w:tcPr>
          <w:p>
            <w:pPr>
              <w:spacing w:after="0"/>
            </w:pPr>
            <w:r/>
            <w:r>
              <w:rPr>
                <w:rFonts w:ascii="Aptos" w:hAnsi="Aptos"/>
                <w:b w:val="0"/>
                <w:color w:val="202B33"/>
                <w:sz w:val="16"/>
              </w:rPr>
              <w:t>Order Type + fulfillment location</w:t>
            </w:r>
          </w:p>
        </w:tc>
      </w:tr>
      <w:tr>
        <w:trPr>
          <w:cantSplit/>
        </w:trPr>
        <w:tc>
          <w:tcPr>
            <w:tcW w:type="dxa" w:w="3515"/>
            <w:vAlign w:val="center"/>
            <w:tcMar>
              <w:top w:w="100" w:type="dxa"/>
              <w:start w:w="120" w:type="dxa"/>
              <w:bottom w:w="100" w:type="dxa"/>
              <w:end w:w="120" w:type="dxa"/>
            </w:tcMar>
            <w:shd w:fill="F3F5F7"/>
          </w:tcPr>
          <w:p>
            <w:pPr>
              <w:spacing w:after="0"/>
            </w:pPr>
            <w:r/>
            <w:r>
              <w:rPr>
                <w:rFonts w:ascii="Aptos" w:hAnsi="Aptos"/>
                <w:b w:val="0"/>
                <w:color w:val="202B33"/>
                <w:sz w:val="16"/>
              </w:rPr>
              <w:t>Eksik veya tanımsız kombinasyon</w:t>
            </w:r>
          </w:p>
        </w:tc>
        <w:tc>
          <w:tcPr>
            <w:tcW w:type="dxa" w:w="2891"/>
            <w:vAlign w:val="center"/>
            <w:tcMar>
              <w:top w:w="100" w:type="dxa"/>
              <w:start w:w="120" w:type="dxa"/>
              <w:bottom w:w="100" w:type="dxa"/>
              <w:end w:w="120" w:type="dxa"/>
            </w:tcMar>
            <w:shd w:fill="F3F5F7"/>
          </w:tcPr>
          <w:p>
            <w:pPr>
              <w:spacing w:after="0"/>
            </w:pPr>
            <w:r/>
            <w:r>
              <w:rPr>
                <w:rFonts w:ascii="Aptos" w:hAnsi="Aptos"/>
                <w:b w:val="0"/>
                <w:color w:val="202B33"/>
                <w:sz w:val="16"/>
              </w:rPr>
              <w:t>Alokasyona otomatik alınmaz</w:t>
            </w:r>
          </w:p>
        </w:tc>
        <w:tc>
          <w:tcPr>
            <w:tcW w:type="dxa" w:w="2835"/>
            <w:vAlign w:val="center"/>
            <w:tcMar>
              <w:top w:w="100" w:type="dxa"/>
              <w:start w:w="120" w:type="dxa"/>
              <w:bottom w:w="100" w:type="dxa"/>
              <w:end w:w="120" w:type="dxa"/>
            </w:tcMar>
            <w:shd w:fill="F3F5F7"/>
          </w:tcPr>
          <w:p>
            <w:pPr>
              <w:spacing w:after="0"/>
            </w:pPr>
            <w:r/>
            <w:r>
              <w:rPr>
                <w:rFonts w:ascii="Aptos" w:hAnsi="Aptos"/>
                <w:b w:val="0"/>
                <w:color w:val="202B33"/>
                <w:sz w:val="16"/>
              </w:rPr>
              <w:t>Veri kalitesi uyarısı</w:t>
            </w:r>
          </w:p>
        </w:tc>
      </w:tr>
    </w:tbl>
    <w:p>
      <w:pPr>
        <w:spacing w:after="0"/>
      </w:pPr>
    </w:p>
    <w:p>
      <w:pPr>
        <w:pStyle w:val="Heading2"/>
      </w:pPr>
      <w:r>
        <w:t>4.2 Depo bazında net talep payı</w:t>
      </w:r>
    </w:p>
    <w:tbl>
      <w:tblPr>
        <w:tblW w:type="auto" w:w="0"/>
        <w:tblLook w:firstColumn="1" w:firstRow="1" w:lastColumn="0" w:lastRow="0" w:noHBand="0" w:noVBand="1" w:val="04A0"/>
      </w:tblPr>
      <w:tblGrid>
        <w:gridCol w:w="9915"/>
      </w:tblGrid>
      <w:tr>
        <w:tc>
          <w:tcPr>
            <w:tcW w:type="dxa" w:w="9915"/>
            <w:shd w:fill="17324D"/>
            <w:tcMar>
              <w:top w:w="180" w:type="dxa"/>
              <w:start w:w="250" w:type="dxa"/>
              <w:bottom w:w="180" w:type="dxa"/>
              <w:end w:w="250" w:type="dxa"/>
            </w:tcMar>
          </w:tcPr>
          <w:p>
            <w:pPr>
              <w:jc w:val="center"/>
            </w:pPr>
            <w:r/>
            <w:r>
              <w:rPr>
                <w:rFonts w:ascii="Aptos Mono" w:hAnsi="Aptos Mono"/>
                <w:b/>
                <w:color w:val="FFFFFF"/>
                <w:sz w:val="19"/>
              </w:rPr>
              <w:t>Depo net satışı = depo brüt satışı − depoya bağlanan iadeler</w:t>
            </w:r>
            <w:r>
              <w:br/>
            </w:r>
            <w:r>
              <w:rPr>
                <w:rFonts w:ascii="Aptos Mono" w:hAnsi="Aptos Mono"/>
                <w:b w:val="0"/>
                <w:color w:val="FFFFFF"/>
                <w:sz w:val="19"/>
              </w:rPr>
              <w:t>Depo talep payı = depo net satışı / üç deponun toplam net satışı</w:t>
            </w:r>
            <w:r>
              <w:br/>
            </w:r>
            <w:r>
              <w:rPr>
                <w:rFonts w:ascii="Aptos Mono" w:hAnsi="Aptos Mono"/>
                <w:b/>
                <w:color w:val="FFFFFF"/>
                <w:sz w:val="19"/>
              </w:rPr>
              <w:t>Depo hedef talebi = ürün/beden toplam tahmini × depo talep payı</w:t>
            </w:r>
          </w:p>
        </w:tc>
      </w:tr>
    </w:tbl>
    <w:p>
      <w:pPr>
        <w:spacing w:after="0"/>
      </w:pPr>
    </w:p>
    <w:p>
      <w:r>
        <w:t>Pay ürün + beden seviyesinde yeterli geçmiş varsa bu seviyede hesaplanır. Veri yetersizse sırasıyla ürün toplamı, model/renk veya seçili Tür–Marka–Statü grubunun depo payı kullanılabilir. Kullanılan fallback seviyesi sonuç satırında gösterilir; sistem sessizce tahmin üretmez.</w:t>
      </w:r>
    </w:p>
    <w:p>
      <w:pPr>
        <w:pStyle w:val="Heading2"/>
      </w:pPr>
      <w:r>
        <w:t>4.3 Mevcut depo stoklarının etkisi</w:t>
      </w:r>
    </w:p>
    <w:tbl>
      <w:tblPr>
        <w:tblW w:type="auto" w:w="0"/>
        <w:tblLook w:firstColumn="1" w:firstRow="1" w:lastColumn="0" w:lastRow="0" w:noHBand="0" w:noVBand="1" w:val="04A0"/>
      </w:tblPr>
      <w:tblGrid>
        <w:gridCol w:w="9915"/>
      </w:tblGrid>
      <w:tr>
        <w:tc>
          <w:tcPr>
            <w:tcW w:type="dxa" w:w="9915"/>
            <w:shd w:fill="17324D"/>
            <w:tcMar>
              <w:top w:w="180" w:type="dxa"/>
              <w:start w:w="250" w:type="dxa"/>
              <w:bottom w:w="180" w:type="dxa"/>
              <w:end w:w="250" w:type="dxa"/>
            </w:tcMar>
          </w:tcPr>
          <w:p>
            <w:pPr>
              <w:jc w:val="center"/>
            </w:pPr>
            <w:r/>
            <w:r>
              <w:rPr>
                <w:rFonts w:ascii="Aptos Mono" w:hAnsi="Aptos Mono"/>
                <w:b/>
                <w:color w:val="FFFFFF"/>
                <w:sz w:val="19"/>
              </w:rPr>
              <w:t>Depo açığı = max(0, depo hedef talebi − depodaki satılabilir stok)</w:t>
            </w:r>
            <w:r>
              <w:br/>
            </w:r>
            <w:r>
              <w:rPr>
                <w:rFonts w:ascii="Aptos Mono" w:hAnsi="Aptos Mono"/>
                <w:b/>
                <w:color w:val="FFFFFF"/>
                <w:sz w:val="19"/>
              </w:rPr>
              <w:t>Üretim alokasyonu = toplam üretim ihtiyacının pozitif depo açıklarına dağıtılması</w:t>
            </w:r>
          </w:p>
        </w:tc>
      </w:tr>
    </w:tbl>
    <w:p>
      <w:pPr>
        <w:spacing w:after="0"/>
      </w:pPr>
    </w:p>
    <w:p>
      <w:r>
        <w:t>Depolardan birinde hedefin üzerinde stok bulunurken başka depoda açık oluşabilir. İlk sürüm otomatik transfer emri üretmeyecektir. Üretilecek toplam miktar, pozitif depo açıkları oranında üç depoya dağıtılır ve tam adet toplamı üretim ihtiyacına eşit olacak şekilde en büyük kalan yöntemiyle yuvarlanır. Böylece depo önerilerinin toplamı daima toplam üretim ihtiyacına eşit olur.</w:t>
      </w:r>
    </w:p>
    <w:p>
      <w:pPr>
        <w:pStyle w:val="Heading2"/>
      </w:pPr>
      <w:r>
        <w:t>4.4 Alokasyon için sayısal örnek</w:t>
      </w:r>
    </w:p>
    <w:tbl>
      <w:tblPr>
        <w:tblStyle w:val="TableGrid"/>
        <w:tblW w:type="auto" w:w="0"/>
        <w:jc w:val="center"/>
        <w:tblLayout w:type="fixed"/>
        <w:tblLook w:firstColumn="1" w:firstRow="1" w:lastColumn="0" w:lastRow="0" w:noHBand="0" w:noVBand="1" w:val="04A0"/>
      </w:tblPr>
      <w:tblGrid>
        <w:gridCol w:w="1983"/>
        <w:gridCol w:w="1983"/>
        <w:gridCol w:w="1983"/>
        <w:gridCol w:w="1983"/>
        <w:gridCol w:w="1983"/>
      </w:tblGrid>
      <w:tr>
        <w:trPr>
          <w:tblHeader w:val="true"/>
          <w:cantSplit/>
        </w:trPr>
        <w:tc>
          <w:tcPr>
            <w:tcW w:type="dxa" w:w="2381"/>
            <w:vAlign w:val="center"/>
            <w:tcMar>
              <w:top w:w="100" w:type="dxa"/>
              <w:start w:w="120" w:type="dxa"/>
              <w:bottom w:w="100" w:type="dxa"/>
              <w:end w:w="120" w:type="dxa"/>
            </w:tcMar>
            <w:shd w:fill="17324D"/>
          </w:tcPr>
          <w:p>
            <w:pPr>
              <w:spacing w:after="0"/>
            </w:pPr>
            <w:r/>
            <w:r>
              <w:rPr>
                <w:rFonts w:ascii="Aptos" w:hAnsi="Aptos"/>
                <w:b/>
                <w:color w:val="FFFFFF"/>
                <w:sz w:val="16"/>
              </w:rPr>
              <w:t>Depo</w:t>
            </w:r>
          </w:p>
        </w:tc>
        <w:tc>
          <w:tcPr>
            <w:tcW w:type="dxa" w:w="1814"/>
            <w:vAlign w:val="center"/>
            <w:tcMar>
              <w:top w:w="100" w:type="dxa"/>
              <w:start w:w="120" w:type="dxa"/>
              <w:bottom w:w="100" w:type="dxa"/>
              <w:end w:w="120" w:type="dxa"/>
            </w:tcMar>
            <w:shd w:fill="17324D"/>
          </w:tcPr>
          <w:p>
            <w:pPr>
              <w:spacing w:after="0"/>
            </w:pPr>
            <w:r/>
            <w:r>
              <w:rPr>
                <w:rFonts w:ascii="Aptos" w:hAnsi="Aptos"/>
                <w:b/>
                <w:color w:val="FFFFFF"/>
                <w:sz w:val="16"/>
              </w:rPr>
              <w:t>Geçmiş net pay</w:t>
            </w:r>
          </w:p>
        </w:tc>
        <w:tc>
          <w:tcPr>
            <w:tcW w:type="dxa" w:w="1928"/>
            <w:vAlign w:val="center"/>
            <w:tcMar>
              <w:top w:w="100" w:type="dxa"/>
              <w:start w:w="120" w:type="dxa"/>
              <w:bottom w:w="100" w:type="dxa"/>
              <w:end w:w="120" w:type="dxa"/>
            </w:tcMar>
            <w:shd w:fill="17324D"/>
          </w:tcPr>
          <w:p>
            <w:pPr>
              <w:spacing w:after="0"/>
            </w:pPr>
            <w:r/>
            <w:r>
              <w:rPr>
                <w:rFonts w:ascii="Aptos" w:hAnsi="Aptos"/>
                <w:b/>
                <w:color w:val="FFFFFF"/>
                <w:sz w:val="16"/>
              </w:rPr>
              <w:t>3.600 hedef talep</w:t>
            </w:r>
          </w:p>
        </w:tc>
        <w:tc>
          <w:tcPr>
            <w:tcW w:type="dxa" w:w="1531"/>
            <w:vAlign w:val="center"/>
            <w:tcMar>
              <w:top w:w="100" w:type="dxa"/>
              <w:start w:w="120" w:type="dxa"/>
              <w:bottom w:w="100" w:type="dxa"/>
              <w:end w:w="120" w:type="dxa"/>
            </w:tcMar>
            <w:shd w:fill="17324D"/>
          </w:tcPr>
          <w:p>
            <w:pPr>
              <w:spacing w:after="0"/>
            </w:pPr>
            <w:r/>
            <w:r>
              <w:rPr>
                <w:rFonts w:ascii="Aptos" w:hAnsi="Aptos"/>
                <w:b/>
                <w:color w:val="FFFFFF"/>
                <w:sz w:val="16"/>
              </w:rPr>
              <w:t>Mevcut stok</w:t>
            </w:r>
          </w:p>
        </w:tc>
        <w:tc>
          <w:tcPr>
            <w:tcW w:type="dxa" w:w="1587"/>
            <w:vAlign w:val="center"/>
            <w:tcMar>
              <w:top w:w="100" w:type="dxa"/>
              <w:start w:w="120" w:type="dxa"/>
              <w:bottom w:w="100" w:type="dxa"/>
              <w:end w:w="120" w:type="dxa"/>
            </w:tcMar>
            <w:shd w:fill="17324D"/>
          </w:tcPr>
          <w:p>
            <w:pPr>
              <w:spacing w:after="0"/>
            </w:pPr>
            <w:r/>
            <w:r>
              <w:rPr>
                <w:rFonts w:ascii="Aptos" w:hAnsi="Aptos"/>
                <w:b/>
                <w:color w:val="FFFFFF"/>
                <w:sz w:val="16"/>
              </w:rPr>
              <w:t>Pozitif açık</w:t>
            </w:r>
          </w:p>
        </w:tc>
      </w:tr>
      <w:tr>
        <w:trPr>
          <w:cantSplit/>
        </w:trPr>
        <w:tc>
          <w:tcPr>
            <w:tcW w:type="dxa" w:w="2381"/>
            <w:vAlign w:val="center"/>
            <w:tcMar>
              <w:top w:w="100" w:type="dxa"/>
              <w:start w:w="120" w:type="dxa"/>
              <w:bottom w:w="100" w:type="dxa"/>
              <w:end w:w="120" w:type="dxa"/>
            </w:tcMar>
          </w:tcPr>
          <w:p>
            <w:pPr>
              <w:spacing w:after="0"/>
            </w:pPr>
            <w:r/>
            <w:r>
              <w:rPr>
                <w:rFonts w:ascii="Aptos" w:hAnsi="Aptos"/>
                <w:b w:val="0"/>
                <w:color w:val="202B33"/>
                <w:sz w:val="17"/>
              </w:rPr>
              <w:t>Zalando Offerable</w:t>
            </w:r>
          </w:p>
        </w:tc>
        <w:tc>
          <w:tcPr>
            <w:tcW w:type="dxa" w:w="1814"/>
            <w:vAlign w:val="center"/>
            <w:tcMar>
              <w:top w:w="100" w:type="dxa"/>
              <w:start w:w="120" w:type="dxa"/>
              <w:bottom w:w="100" w:type="dxa"/>
              <w:end w:w="120" w:type="dxa"/>
            </w:tcMar>
          </w:tcPr>
          <w:p>
            <w:pPr>
              <w:spacing w:after="0"/>
            </w:pPr>
            <w:r/>
            <w:r>
              <w:rPr>
                <w:rFonts w:ascii="Aptos" w:hAnsi="Aptos"/>
                <w:b w:val="0"/>
                <w:color w:val="202B33"/>
                <w:sz w:val="17"/>
              </w:rPr>
              <w:t>%60</w:t>
            </w:r>
          </w:p>
        </w:tc>
        <w:tc>
          <w:tcPr>
            <w:tcW w:type="dxa" w:w="1928"/>
            <w:vAlign w:val="center"/>
            <w:tcMar>
              <w:top w:w="100" w:type="dxa"/>
              <w:start w:w="120" w:type="dxa"/>
              <w:bottom w:w="100" w:type="dxa"/>
              <w:end w:w="120" w:type="dxa"/>
            </w:tcMar>
          </w:tcPr>
          <w:p>
            <w:pPr>
              <w:spacing w:after="0"/>
            </w:pPr>
            <w:r/>
            <w:r>
              <w:rPr>
                <w:rFonts w:ascii="Aptos" w:hAnsi="Aptos"/>
                <w:b w:val="0"/>
                <w:color w:val="202B33"/>
                <w:sz w:val="17"/>
              </w:rPr>
              <w:t>2.160</w:t>
            </w:r>
          </w:p>
        </w:tc>
        <w:tc>
          <w:tcPr>
            <w:tcW w:type="dxa" w:w="1531"/>
            <w:vAlign w:val="center"/>
            <w:tcMar>
              <w:top w:w="100" w:type="dxa"/>
              <w:start w:w="120" w:type="dxa"/>
              <w:bottom w:w="100" w:type="dxa"/>
              <w:end w:w="120" w:type="dxa"/>
            </w:tcMar>
          </w:tcPr>
          <w:p>
            <w:pPr>
              <w:spacing w:after="0"/>
            </w:pPr>
            <w:r/>
            <w:r>
              <w:rPr>
                <w:rFonts w:ascii="Aptos" w:hAnsi="Aptos"/>
                <w:b w:val="0"/>
                <w:color w:val="202B33"/>
                <w:sz w:val="17"/>
              </w:rPr>
              <w:t>900</w:t>
            </w:r>
          </w:p>
        </w:tc>
        <w:tc>
          <w:tcPr>
            <w:tcW w:type="dxa" w:w="1587"/>
            <w:vAlign w:val="center"/>
            <w:tcMar>
              <w:top w:w="100" w:type="dxa"/>
              <w:start w:w="120" w:type="dxa"/>
              <w:bottom w:w="100" w:type="dxa"/>
              <w:end w:w="120" w:type="dxa"/>
            </w:tcMar>
          </w:tcPr>
          <w:p>
            <w:pPr>
              <w:spacing w:after="0"/>
            </w:pPr>
            <w:r/>
            <w:r>
              <w:rPr>
                <w:rFonts w:ascii="Aptos" w:hAnsi="Aptos"/>
                <w:b w:val="0"/>
                <w:color w:val="202B33"/>
                <w:sz w:val="17"/>
              </w:rPr>
              <w:t>1.260</w:t>
            </w:r>
          </w:p>
        </w:tc>
      </w:tr>
      <w:tr>
        <w:trPr>
          <w:cantSplit/>
        </w:trPr>
        <w:tc>
          <w:tcPr>
            <w:tcW w:type="dxa" w:w="2381"/>
            <w:vAlign w:val="center"/>
            <w:tcMar>
              <w:top w:w="100" w:type="dxa"/>
              <w:start w:w="120" w:type="dxa"/>
              <w:bottom w:w="100" w:type="dxa"/>
              <w:end w:w="120" w:type="dxa"/>
            </w:tcMar>
            <w:shd w:fill="F3F5F7"/>
          </w:tcPr>
          <w:p>
            <w:pPr>
              <w:spacing w:after="0"/>
            </w:pPr>
            <w:r/>
            <w:r>
              <w:rPr>
                <w:rFonts w:ascii="Aptos" w:hAnsi="Aptos"/>
                <w:b w:val="0"/>
                <w:color w:val="202B33"/>
                <w:sz w:val="17"/>
              </w:rPr>
              <w:t>Ekol</w:t>
            </w:r>
          </w:p>
        </w:tc>
        <w:tc>
          <w:tcPr>
            <w:tcW w:type="dxa" w:w="1814"/>
            <w:vAlign w:val="center"/>
            <w:tcMar>
              <w:top w:w="100" w:type="dxa"/>
              <w:start w:w="120" w:type="dxa"/>
              <w:bottom w:w="100" w:type="dxa"/>
              <w:end w:w="120" w:type="dxa"/>
            </w:tcMar>
            <w:shd w:fill="F3F5F7"/>
          </w:tcPr>
          <w:p>
            <w:pPr>
              <w:spacing w:after="0"/>
            </w:pPr>
            <w:r/>
            <w:r>
              <w:rPr>
                <w:rFonts w:ascii="Aptos" w:hAnsi="Aptos"/>
                <w:b w:val="0"/>
                <w:color w:val="202B33"/>
                <w:sz w:val="17"/>
              </w:rPr>
              <w:t>%32</w:t>
            </w:r>
          </w:p>
        </w:tc>
        <w:tc>
          <w:tcPr>
            <w:tcW w:type="dxa" w:w="1928"/>
            <w:vAlign w:val="center"/>
            <w:tcMar>
              <w:top w:w="100" w:type="dxa"/>
              <w:start w:w="120" w:type="dxa"/>
              <w:bottom w:w="100" w:type="dxa"/>
              <w:end w:w="120" w:type="dxa"/>
            </w:tcMar>
            <w:shd w:fill="F3F5F7"/>
          </w:tcPr>
          <w:p>
            <w:pPr>
              <w:spacing w:after="0"/>
            </w:pPr>
            <w:r/>
            <w:r>
              <w:rPr>
                <w:rFonts w:ascii="Aptos" w:hAnsi="Aptos"/>
                <w:b w:val="0"/>
                <w:color w:val="202B33"/>
                <w:sz w:val="17"/>
              </w:rPr>
              <w:t>1.152</w:t>
            </w:r>
          </w:p>
        </w:tc>
        <w:tc>
          <w:tcPr>
            <w:tcW w:type="dxa" w:w="1531"/>
            <w:vAlign w:val="center"/>
            <w:tcMar>
              <w:top w:w="100" w:type="dxa"/>
              <w:start w:w="120" w:type="dxa"/>
              <w:bottom w:w="100" w:type="dxa"/>
              <w:end w:w="120" w:type="dxa"/>
            </w:tcMar>
            <w:shd w:fill="F3F5F7"/>
          </w:tcPr>
          <w:p>
            <w:pPr>
              <w:spacing w:after="0"/>
            </w:pPr>
            <w:r/>
            <w:r>
              <w:rPr>
                <w:rFonts w:ascii="Aptos" w:hAnsi="Aptos"/>
                <w:b w:val="0"/>
                <w:color w:val="202B33"/>
                <w:sz w:val="17"/>
              </w:rPr>
              <w:t>650</w:t>
            </w:r>
          </w:p>
        </w:tc>
        <w:tc>
          <w:tcPr>
            <w:tcW w:type="dxa" w:w="1587"/>
            <w:vAlign w:val="center"/>
            <w:tcMar>
              <w:top w:w="100" w:type="dxa"/>
              <w:start w:w="120" w:type="dxa"/>
              <w:bottom w:w="100" w:type="dxa"/>
              <w:end w:w="120" w:type="dxa"/>
            </w:tcMar>
            <w:shd w:fill="F3F5F7"/>
          </w:tcPr>
          <w:p>
            <w:pPr>
              <w:spacing w:after="0"/>
            </w:pPr>
            <w:r/>
            <w:r>
              <w:rPr>
                <w:rFonts w:ascii="Aptos" w:hAnsi="Aptos"/>
                <w:b w:val="0"/>
                <w:color w:val="202B33"/>
                <w:sz w:val="17"/>
              </w:rPr>
              <w:t>502</w:t>
            </w:r>
          </w:p>
        </w:tc>
      </w:tr>
      <w:tr>
        <w:trPr>
          <w:cantSplit/>
        </w:trPr>
        <w:tc>
          <w:tcPr>
            <w:tcW w:type="dxa" w:w="2381"/>
            <w:vAlign w:val="center"/>
            <w:tcMar>
              <w:top w:w="100" w:type="dxa"/>
              <w:start w:w="120" w:type="dxa"/>
              <w:bottom w:w="100" w:type="dxa"/>
              <w:end w:w="120" w:type="dxa"/>
            </w:tcMar>
          </w:tcPr>
          <w:p>
            <w:pPr>
              <w:spacing w:after="0"/>
            </w:pPr>
            <w:r/>
            <w:r>
              <w:rPr>
                <w:rFonts w:ascii="Aptos" w:hAnsi="Aptos"/>
                <w:b w:val="0"/>
                <w:color w:val="202B33"/>
                <w:sz w:val="17"/>
              </w:rPr>
              <w:t>Paris Shop</w:t>
            </w:r>
          </w:p>
        </w:tc>
        <w:tc>
          <w:tcPr>
            <w:tcW w:type="dxa" w:w="1814"/>
            <w:vAlign w:val="center"/>
            <w:tcMar>
              <w:top w:w="100" w:type="dxa"/>
              <w:start w:w="120" w:type="dxa"/>
              <w:bottom w:w="100" w:type="dxa"/>
              <w:end w:w="120" w:type="dxa"/>
            </w:tcMar>
          </w:tcPr>
          <w:p>
            <w:pPr>
              <w:spacing w:after="0"/>
            </w:pPr>
            <w:r/>
            <w:r>
              <w:rPr>
                <w:rFonts w:ascii="Aptos" w:hAnsi="Aptos"/>
                <w:b w:val="0"/>
                <w:color w:val="202B33"/>
                <w:sz w:val="17"/>
              </w:rPr>
              <w:t>%8</w:t>
            </w:r>
          </w:p>
        </w:tc>
        <w:tc>
          <w:tcPr>
            <w:tcW w:type="dxa" w:w="1928"/>
            <w:vAlign w:val="center"/>
            <w:tcMar>
              <w:top w:w="100" w:type="dxa"/>
              <w:start w:w="120" w:type="dxa"/>
              <w:bottom w:w="100" w:type="dxa"/>
              <w:end w:w="120" w:type="dxa"/>
            </w:tcMar>
          </w:tcPr>
          <w:p>
            <w:pPr>
              <w:spacing w:after="0"/>
            </w:pPr>
            <w:r/>
            <w:r>
              <w:rPr>
                <w:rFonts w:ascii="Aptos" w:hAnsi="Aptos"/>
                <w:b w:val="0"/>
                <w:color w:val="202B33"/>
                <w:sz w:val="17"/>
              </w:rPr>
              <w:t>288</w:t>
            </w:r>
          </w:p>
        </w:tc>
        <w:tc>
          <w:tcPr>
            <w:tcW w:type="dxa" w:w="1531"/>
            <w:vAlign w:val="center"/>
            <w:tcMar>
              <w:top w:w="100" w:type="dxa"/>
              <w:start w:w="120" w:type="dxa"/>
              <w:bottom w:w="100" w:type="dxa"/>
              <w:end w:w="120" w:type="dxa"/>
            </w:tcMar>
          </w:tcPr>
          <w:p>
            <w:pPr>
              <w:spacing w:after="0"/>
            </w:pPr>
            <w:r/>
            <w:r>
              <w:rPr>
                <w:rFonts w:ascii="Aptos" w:hAnsi="Aptos"/>
                <w:b w:val="0"/>
                <w:color w:val="202B33"/>
                <w:sz w:val="17"/>
              </w:rPr>
              <w:t>150</w:t>
            </w:r>
          </w:p>
        </w:tc>
        <w:tc>
          <w:tcPr>
            <w:tcW w:type="dxa" w:w="1587"/>
            <w:vAlign w:val="center"/>
            <w:tcMar>
              <w:top w:w="100" w:type="dxa"/>
              <w:start w:w="120" w:type="dxa"/>
              <w:bottom w:w="100" w:type="dxa"/>
              <w:end w:w="120" w:type="dxa"/>
            </w:tcMar>
          </w:tcPr>
          <w:p>
            <w:pPr>
              <w:spacing w:after="0"/>
            </w:pPr>
            <w:r/>
            <w:r>
              <w:rPr>
                <w:rFonts w:ascii="Aptos" w:hAnsi="Aptos"/>
                <w:b w:val="0"/>
                <w:color w:val="202B33"/>
                <w:sz w:val="17"/>
              </w:rPr>
              <w:t>138</w:t>
            </w:r>
          </w:p>
        </w:tc>
      </w:tr>
      <w:tr>
        <w:trPr>
          <w:cantSplit/>
        </w:trPr>
        <w:tc>
          <w:tcPr>
            <w:tcW w:type="dxa" w:w="2381"/>
            <w:vAlign w:val="center"/>
            <w:tcMar>
              <w:top w:w="100" w:type="dxa"/>
              <w:start w:w="120" w:type="dxa"/>
              <w:bottom w:w="100" w:type="dxa"/>
              <w:end w:w="120" w:type="dxa"/>
            </w:tcMar>
            <w:shd w:fill="F3F5F7"/>
          </w:tcPr>
          <w:p>
            <w:pPr>
              <w:spacing w:after="0"/>
            </w:pPr>
            <w:r/>
            <w:r>
              <w:rPr>
                <w:rFonts w:ascii="Aptos" w:hAnsi="Aptos"/>
                <w:b w:val="0"/>
                <w:color w:val="202B33"/>
                <w:sz w:val="17"/>
              </w:rPr>
              <w:t>Toplam</w:t>
            </w:r>
          </w:p>
        </w:tc>
        <w:tc>
          <w:tcPr>
            <w:tcW w:type="dxa" w:w="1814"/>
            <w:vAlign w:val="center"/>
            <w:tcMar>
              <w:top w:w="100" w:type="dxa"/>
              <w:start w:w="120" w:type="dxa"/>
              <w:bottom w:w="100" w:type="dxa"/>
              <w:end w:w="120" w:type="dxa"/>
            </w:tcMar>
            <w:shd w:fill="F3F5F7"/>
          </w:tcPr>
          <w:p>
            <w:pPr>
              <w:spacing w:after="0"/>
            </w:pPr>
            <w:r/>
            <w:r>
              <w:rPr>
                <w:rFonts w:ascii="Aptos" w:hAnsi="Aptos"/>
                <w:b w:val="0"/>
                <w:color w:val="202B33"/>
                <w:sz w:val="17"/>
              </w:rPr>
              <w:t>%100</w:t>
            </w:r>
          </w:p>
        </w:tc>
        <w:tc>
          <w:tcPr>
            <w:tcW w:type="dxa" w:w="1928"/>
            <w:vAlign w:val="center"/>
            <w:tcMar>
              <w:top w:w="100" w:type="dxa"/>
              <w:start w:w="120" w:type="dxa"/>
              <w:bottom w:w="100" w:type="dxa"/>
              <w:end w:w="120" w:type="dxa"/>
            </w:tcMar>
            <w:shd w:fill="F3F5F7"/>
          </w:tcPr>
          <w:p>
            <w:pPr>
              <w:spacing w:after="0"/>
            </w:pPr>
            <w:r/>
            <w:r>
              <w:rPr>
                <w:rFonts w:ascii="Aptos" w:hAnsi="Aptos"/>
                <w:b w:val="0"/>
                <w:color w:val="202B33"/>
                <w:sz w:val="17"/>
              </w:rPr>
              <w:t>3.600</w:t>
            </w:r>
          </w:p>
        </w:tc>
        <w:tc>
          <w:tcPr>
            <w:tcW w:type="dxa" w:w="1531"/>
            <w:vAlign w:val="center"/>
            <w:tcMar>
              <w:top w:w="100" w:type="dxa"/>
              <w:start w:w="120" w:type="dxa"/>
              <w:bottom w:w="100" w:type="dxa"/>
              <w:end w:w="120" w:type="dxa"/>
            </w:tcMar>
            <w:shd w:fill="F3F5F7"/>
          </w:tcPr>
          <w:p>
            <w:pPr>
              <w:spacing w:after="0"/>
            </w:pPr>
            <w:r/>
            <w:r>
              <w:rPr>
                <w:rFonts w:ascii="Aptos" w:hAnsi="Aptos"/>
                <w:b w:val="0"/>
                <w:color w:val="202B33"/>
                <w:sz w:val="17"/>
              </w:rPr>
              <w:t>1.700</w:t>
            </w:r>
          </w:p>
        </w:tc>
        <w:tc>
          <w:tcPr>
            <w:tcW w:type="dxa" w:w="1587"/>
            <w:vAlign w:val="center"/>
            <w:tcMar>
              <w:top w:w="100" w:type="dxa"/>
              <w:start w:w="120" w:type="dxa"/>
              <w:bottom w:w="100" w:type="dxa"/>
              <w:end w:w="120" w:type="dxa"/>
            </w:tcMar>
            <w:shd w:fill="F3F5F7"/>
          </w:tcPr>
          <w:p>
            <w:pPr>
              <w:spacing w:after="0"/>
            </w:pPr>
            <w:r/>
            <w:r>
              <w:rPr>
                <w:rFonts w:ascii="Aptos" w:hAnsi="Aptos"/>
                <w:b w:val="0"/>
                <w:color w:val="202B33"/>
                <w:sz w:val="17"/>
              </w:rPr>
              <w:t>1.900</w:t>
            </w:r>
          </w:p>
        </w:tc>
      </w:tr>
    </w:tbl>
    <w:p>
      <w:pPr>
        <w:spacing w:after="0"/>
      </w:pPr>
    </w:p>
    <w:p>
      <w:r>
        <w:t>Bu örnekte pozitif depo açıklarının toplamı 1.900 olduğundan üretim doğrudan 1.260 / 502 / 138 olarak önerilir. Müşteri örneğindeki 1.100 / 700 / 100 dağılımı ancak gerçek net satış payları ve depo stokları bu sonucu destekliyorsa oluşacaktır; sistem sabit oran kullanmayacaktır.</w:t>
      </w:r>
    </w:p>
    <w:p>
      <w:pPr>
        <w:pStyle w:val="Heading1"/>
      </w:pPr>
      <w:r>
        <w:t>5. Ekran ve çıktı kapsamı</w:t>
      </w:r>
    </w:p>
    <w:p>
      <w:pPr>
        <w:pStyle w:val="ListBullet"/>
      </w:pPr>
      <w:r>
        <w:t>Tür, Statü, Marka, hedef tarih aralığı ve büyüme çarpanı seçim alanları</w:t>
      </w:r>
    </w:p>
    <w:p>
      <w:pPr>
        <w:pStyle w:val="ListBullet"/>
      </w:pPr>
      <w:r>
        <w:t>Çalıştırma öncesi otomatik referans dönem gösterimi</w:t>
      </w:r>
    </w:p>
    <w:p>
      <w:pPr>
        <w:pStyle w:val="ListBullet"/>
      </w:pPr>
      <w:r>
        <w:t>Toplam net satış, toplam tahmin, satılabilir stok ve toplam üretim ihtiyacı özetleri</w:t>
      </w:r>
    </w:p>
    <w:p>
      <w:pPr>
        <w:pStyle w:val="ListBullet"/>
      </w:pPr>
      <w:r>
        <w:t>Ürün, model, renk ve beden bazında hesap tablosu</w:t>
      </w:r>
    </w:p>
    <w:p>
      <w:pPr>
        <w:pStyle w:val="ListBullet"/>
      </w:pPr>
      <w:r>
        <w:t>Üretim öncelik sırası ve öncelik gerekçesi</w:t>
      </w:r>
    </w:p>
    <w:p>
      <w:pPr>
        <w:pStyle w:val="ListBullet"/>
      </w:pPr>
      <w:r>
        <w:t>Zalando Offerable, Ekol ve Paris Shop depo alokasyon önerileri</w:t>
      </w:r>
    </w:p>
    <w:p>
      <w:pPr>
        <w:pStyle w:val="ListBullet"/>
      </w:pPr>
      <w:r>
        <w:t>Satır bazında net satış, tahmin, stok, açık ve depo payı hesap izi</w:t>
      </w:r>
    </w:p>
    <w:p>
      <w:pPr>
        <w:pStyle w:val="ListBullet"/>
      </w:pPr>
      <w:r>
        <w:t>Excel/CSV dışa aktarım</w:t>
      </w:r>
    </w:p>
    <w:p>
      <w:pPr>
        <w:pStyle w:val="ListBullet"/>
      </w:pPr>
      <w:r>
        <w:t>NetSuite veri çekim zamanı ve veri kalitesi uyarıları</w:t>
      </w:r>
    </w:p>
    <w:p>
      <w:pPr>
        <w:pStyle w:val="Heading1"/>
      </w:pPr>
      <w:r>
        <w:t>6. Teknik çözüm sınırı</w:t>
      </w:r>
    </w:p>
    <w:p>
      <w:r>
        <w:t>Uygulama Vizyon Deri'nin kendi sunucusunda çalışacaktır. Önerilen yapı; NetSuite'ten salt-okunur veri alan entegrasyon servisi, yerel veritabanı, deterministik hesap motoru ve tarayıcı tabanlı kullanıcı ekranından oluşur. İlk sürüm NetSuite'e kayıt yazmaz; sonuçların Excel/CSV olarak kullanılması hedeflenir. NetSuite'e onaylı geri yazım ayrı faz olarak fiyatlandırılabilir.</w:t>
      </w:r>
    </w:p>
    <w:tbl>
      <w:tblPr>
        <w:tblStyle w:val="TableGrid"/>
        <w:tblW w:type="auto" w:w="0"/>
        <w:jc w:val="center"/>
        <w:tblLayout w:type="fixed"/>
        <w:tblLook w:firstColumn="1" w:firstRow="1" w:lastColumn="0" w:lastRow="0" w:noHBand="0" w:noVBand="1" w:val="04A0"/>
      </w:tblPr>
      <w:tblGrid>
        <w:gridCol w:w="4957"/>
        <w:gridCol w:w="4957"/>
      </w:tblGrid>
      <w:tr>
        <w:trPr>
          <w:tblHeader w:val="true"/>
          <w:cantSplit/>
        </w:trPr>
        <w:tc>
          <w:tcPr>
            <w:tcW w:type="dxa" w:w="2494"/>
            <w:vAlign w:val="center"/>
            <w:tcMar>
              <w:top w:w="100" w:type="dxa"/>
              <w:start w:w="120" w:type="dxa"/>
              <w:bottom w:w="100" w:type="dxa"/>
              <w:end w:w="120" w:type="dxa"/>
            </w:tcMar>
            <w:shd w:fill="17324D"/>
          </w:tcPr>
          <w:p>
            <w:pPr>
              <w:spacing w:after="0"/>
            </w:pPr>
            <w:r/>
            <w:r>
              <w:rPr>
                <w:rFonts w:ascii="Aptos" w:hAnsi="Aptos"/>
                <w:b/>
                <w:color w:val="FFFFFF"/>
                <w:sz w:val="16"/>
              </w:rPr>
              <w:t>Bileşen</w:t>
            </w:r>
          </w:p>
        </w:tc>
        <w:tc>
          <w:tcPr>
            <w:tcW w:type="dxa" w:w="6746"/>
            <w:vAlign w:val="center"/>
            <w:tcMar>
              <w:top w:w="100" w:type="dxa"/>
              <w:start w:w="120" w:type="dxa"/>
              <w:bottom w:w="100" w:type="dxa"/>
              <w:end w:w="120" w:type="dxa"/>
            </w:tcMar>
            <w:shd w:fill="17324D"/>
          </w:tcPr>
          <w:p>
            <w:pPr>
              <w:spacing w:after="0"/>
            </w:pPr>
            <w:r/>
            <w:r>
              <w:rPr>
                <w:rFonts w:ascii="Aptos" w:hAnsi="Aptos"/>
                <w:b/>
                <w:color w:val="FFFFFF"/>
                <w:sz w:val="16"/>
              </w:rPr>
              <w:t>İlk sürüm kapsamı</w:t>
            </w:r>
          </w:p>
        </w:tc>
      </w:tr>
      <w:tr>
        <w:trPr>
          <w:cantSplit/>
        </w:trPr>
        <w:tc>
          <w:tcPr>
            <w:tcW w:type="dxa" w:w="2494"/>
            <w:vAlign w:val="center"/>
            <w:tcMar>
              <w:top w:w="100" w:type="dxa"/>
              <w:start w:w="120" w:type="dxa"/>
              <w:bottom w:w="100" w:type="dxa"/>
              <w:end w:w="120" w:type="dxa"/>
            </w:tcMar>
          </w:tcPr>
          <w:p>
            <w:pPr>
              <w:spacing w:after="0"/>
            </w:pPr>
            <w:r/>
            <w:r>
              <w:rPr>
                <w:rFonts w:ascii="Aptos" w:hAnsi="Aptos"/>
                <w:b w:val="0"/>
                <w:color w:val="202B33"/>
                <w:sz w:val="17"/>
              </w:rPr>
              <w:t>NetSuite bağlantısı</w:t>
            </w:r>
          </w:p>
        </w:tc>
        <w:tc>
          <w:tcPr>
            <w:tcW w:type="dxa" w:w="6746"/>
            <w:vAlign w:val="center"/>
            <w:tcMar>
              <w:top w:w="100" w:type="dxa"/>
              <w:start w:w="120" w:type="dxa"/>
              <w:bottom w:w="100" w:type="dxa"/>
              <w:end w:w="120" w:type="dxa"/>
            </w:tcMar>
          </w:tcPr>
          <w:p>
            <w:pPr>
              <w:spacing w:after="0"/>
            </w:pPr>
            <w:r/>
            <w:r>
              <w:rPr>
                <w:rFonts w:ascii="Aptos" w:hAnsi="Aptos"/>
                <w:b w:val="0"/>
                <w:color w:val="202B33"/>
                <w:sz w:val="17"/>
              </w:rPr>
              <w:t>SuiteAnalytics Connect veya REST SuiteQL; hesap yetkisine göre</w:t>
            </w:r>
          </w:p>
        </w:tc>
      </w:tr>
      <w:tr>
        <w:trPr>
          <w:cantSplit/>
        </w:trPr>
        <w:tc>
          <w:tcPr>
            <w:tcW w:type="dxa" w:w="2494"/>
            <w:vAlign w:val="center"/>
            <w:tcMar>
              <w:top w:w="100" w:type="dxa"/>
              <w:start w:w="120" w:type="dxa"/>
              <w:bottom w:w="100" w:type="dxa"/>
              <w:end w:w="120" w:type="dxa"/>
            </w:tcMar>
            <w:shd w:fill="F3F5F7"/>
          </w:tcPr>
          <w:p>
            <w:pPr>
              <w:spacing w:after="0"/>
            </w:pPr>
            <w:r/>
            <w:r>
              <w:rPr>
                <w:rFonts w:ascii="Aptos" w:hAnsi="Aptos"/>
                <w:b w:val="0"/>
                <w:color w:val="202B33"/>
                <w:sz w:val="17"/>
              </w:rPr>
              <w:t>Veri saklama</w:t>
            </w:r>
          </w:p>
        </w:tc>
        <w:tc>
          <w:tcPr>
            <w:tcW w:type="dxa" w:w="6746"/>
            <w:vAlign w:val="center"/>
            <w:tcMar>
              <w:top w:w="100" w:type="dxa"/>
              <w:start w:w="120" w:type="dxa"/>
              <w:bottom w:w="100" w:type="dxa"/>
              <w:end w:w="120" w:type="dxa"/>
            </w:tcMar>
            <w:shd w:fill="F3F5F7"/>
          </w:tcPr>
          <w:p>
            <w:pPr>
              <w:spacing w:after="0"/>
            </w:pPr>
            <w:r/>
            <w:r>
              <w:rPr>
                <w:rFonts w:ascii="Aptos" w:hAnsi="Aptos"/>
                <w:b w:val="0"/>
                <w:color w:val="202B33"/>
                <w:sz w:val="17"/>
              </w:rPr>
              <w:t>Vizyon sunucusunda yerel veritabanı ve son veri çekim bilgisi</w:t>
            </w:r>
          </w:p>
        </w:tc>
      </w:tr>
      <w:tr>
        <w:trPr>
          <w:cantSplit/>
        </w:trPr>
        <w:tc>
          <w:tcPr>
            <w:tcW w:type="dxa" w:w="2494"/>
            <w:vAlign w:val="center"/>
            <w:tcMar>
              <w:top w:w="100" w:type="dxa"/>
              <w:start w:w="120" w:type="dxa"/>
              <w:bottom w:w="100" w:type="dxa"/>
              <w:end w:w="120" w:type="dxa"/>
            </w:tcMar>
          </w:tcPr>
          <w:p>
            <w:pPr>
              <w:spacing w:after="0"/>
            </w:pPr>
            <w:r/>
            <w:r>
              <w:rPr>
                <w:rFonts w:ascii="Aptos" w:hAnsi="Aptos"/>
                <w:b w:val="0"/>
                <w:color w:val="202B33"/>
                <w:sz w:val="17"/>
              </w:rPr>
              <w:t>Hesap motoru</w:t>
            </w:r>
          </w:p>
        </w:tc>
        <w:tc>
          <w:tcPr>
            <w:tcW w:type="dxa" w:w="6746"/>
            <w:vAlign w:val="center"/>
            <w:tcMar>
              <w:top w:w="100" w:type="dxa"/>
              <w:start w:w="120" w:type="dxa"/>
              <w:bottom w:w="100" w:type="dxa"/>
              <w:end w:w="120" w:type="dxa"/>
            </w:tcMar>
          </w:tcPr>
          <w:p>
            <w:pPr>
              <w:spacing w:after="0"/>
            </w:pPr>
            <w:r/>
            <w:r>
              <w:rPr>
                <w:rFonts w:ascii="Aptos" w:hAnsi="Aptos"/>
                <w:b w:val="0"/>
                <w:color w:val="202B33"/>
                <w:sz w:val="17"/>
              </w:rPr>
              <w:t>Eş dönem net satış × büyüme; stok açığı; öncelik; depo alokasyonu</w:t>
            </w:r>
          </w:p>
        </w:tc>
      </w:tr>
      <w:tr>
        <w:trPr>
          <w:cantSplit/>
        </w:trPr>
        <w:tc>
          <w:tcPr>
            <w:tcW w:type="dxa" w:w="2494"/>
            <w:vAlign w:val="center"/>
            <w:tcMar>
              <w:top w:w="100" w:type="dxa"/>
              <w:start w:w="120" w:type="dxa"/>
              <w:bottom w:w="100" w:type="dxa"/>
              <w:end w:w="120" w:type="dxa"/>
            </w:tcMar>
            <w:shd w:fill="F3F5F7"/>
          </w:tcPr>
          <w:p>
            <w:pPr>
              <w:spacing w:after="0"/>
            </w:pPr>
            <w:r/>
            <w:r>
              <w:rPr>
                <w:rFonts w:ascii="Aptos" w:hAnsi="Aptos"/>
                <w:b w:val="0"/>
                <w:color w:val="202B33"/>
                <w:sz w:val="17"/>
              </w:rPr>
              <w:t>Kullanıcı arayüzü</w:t>
            </w:r>
          </w:p>
        </w:tc>
        <w:tc>
          <w:tcPr>
            <w:tcW w:type="dxa" w:w="6746"/>
            <w:vAlign w:val="center"/>
            <w:tcMar>
              <w:top w:w="100" w:type="dxa"/>
              <w:start w:w="120" w:type="dxa"/>
              <w:bottom w:w="100" w:type="dxa"/>
              <w:end w:w="120" w:type="dxa"/>
            </w:tcMar>
            <w:shd w:fill="F3F5F7"/>
          </w:tcPr>
          <w:p>
            <w:pPr>
              <w:spacing w:after="0"/>
            </w:pPr>
            <w:r/>
            <w:r>
              <w:rPr>
                <w:rFonts w:ascii="Aptos" w:hAnsi="Aptos"/>
                <w:b w:val="0"/>
                <w:color w:val="202B33"/>
                <w:sz w:val="17"/>
              </w:rPr>
              <w:t>Filtreler, sonuç tablosu, açıklama ve export</w:t>
            </w:r>
          </w:p>
        </w:tc>
      </w:tr>
      <w:tr>
        <w:trPr>
          <w:cantSplit/>
        </w:trPr>
        <w:tc>
          <w:tcPr>
            <w:tcW w:type="dxa" w:w="2494"/>
            <w:vAlign w:val="center"/>
            <w:tcMar>
              <w:top w:w="100" w:type="dxa"/>
              <w:start w:w="120" w:type="dxa"/>
              <w:bottom w:w="100" w:type="dxa"/>
              <w:end w:w="120" w:type="dxa"/>
            </w:tcMar>
          </w:tcPr>
          <w:p>
            <w:pPr>
              <w:spacing w:after="0"/>
            </w:pPr>
            <w:r/>
            <w:r>
              <w:rPr>
                <w:rFonts w:ascii="Aptos" w:hAnsi="Aptos"/>
                <w:b w:val="0"/>
                <w:color w:val="202B33"/>
                <w:sz w:val="17"/>
              </w:rPr>
              <w:t>Kurulum</w:t>
            </w:r>
          </w:p>
        </w:tc>
        <w:tc>
          <w:tcPr>
            <w:tcW w:type="dxa" w:w="6746"/>
            <w:vAlign w:val="center"/>
            <w:tcMar>
              <w:top w:w="100" w:type="dxa"/>
              <w:start w:w="120" w:type="dxa"/>
              <w:bottom w:w="100" w:type="dxa"/>
              <w:end w:w="120" w:type="dxa"/>
            </w:tcMar>
          </w:tcPr>
          <w:p>
            <w:pPr>
              <w:spacing w:after="0"/>
            </w:pPr>
            <w:r/>
            <w:r>
              <w:rPr>
                <w:rFonts w:ascii="Aptos" w:hAnsi="Aptos"/>
                <w:b w:val="0"/>
                <w:color w:val="202B33"/>
                <w:sz w:val="17"/>
              </w:rPr>
              <w:t>Docker destekli şirket içi kurulum; sunucu koşulları uygunluk kontrolüne bağlı</w:t>
            </w:r>
          </w:p>
        </w:tc>
      </w:tr>
      <w:tr>
        <w:trPr>
          <w:cantSplit/>
        </w:trPr>
        <w:tc>
          <w:tcPr>
            <w:tcW w:type="dxa" w:w="2494"/>
            <w:vAlign w:val="center"/>
            <w:tcMar>
              <w:top w:w="100" w:type="dxa"/>
              <w:start w:w="120" w:type="dxa"/>
              <w:bottom w:w="100" w:type="dxa"/>
              <w:end w:w="120" w:type="dxa"/>
            </w:tcMar>
            <w:shd w:fill="F3F5F7"/>
          </w:tcPr>
          <w:p>
            <w:pPr>
              <w:spacing w:after="0"/>
            </w:pPr>
            <w:r/>
            <w:r>
              <w:rPr>
                <w:rFonts w:ascii="Aptos" w:hAnsi="Aptos"/>
                <w:b w:val="0"/>
                <w:color w:val="202B33"/>
                <w:sz w:val="17"/>
              </w:rPr>
              <w:t>Güvenlik</w:t>
            </w:r>
          </w:p>
        </w:tc>
        <w:tc>
          <w:tcPr>
            <w:tcW w:type="dxa" w:w="6746"/>
            <w:vAlign w:val="center"/>
            <w:tcMar>
              <w:top w:w="100" w:type="dxa"/>
              <w:start w:w="120" w:type="dxa"/>
              <w:bottom w:w="100" w:type="dxa"/>
              <w:end w:w="120" w:type="dxa"/>
            </w:tcMar>
            <w:shd w:fill="F3F5F7"/>
          </w:tcPr>
          <w:p>
            <w:pPr>
              <w:spacing w:after="0"/>
            </w:pPr>
            <w:r/>
            <w:r>
              <w:rPr>
                <w:rFonts w:ascii="Aptos" w:hAnsi="Aptos"/>
                <w:b w:val="0"/>
                <w:color w:val="202B33"/>
                <w:sz w:val="17"/>
              </w:rPr>
              <w:t>Salt-okunur NetSuite rolü, yerel erişim, secret'ların konfigürasyonda tutulması</w:t>
            </w:r>
          </w:p>
        </w:tc>
      </w:tr>
    </w:tbl>
    <w:p>
      <w:pPr>
        <w:spacing w:after="0"/>
      </w:pPr>
    </w:p>
    <w:p>
      <w:pPr>
        <w:pStyle w:val="Heading1"/>
      </w:pPr>
      <w:r>
        <w:t>7. Efor ve maliyet</w:t>
      </w:r>
    </w:p>
    <w:p>
      <w:r>
        <w:t>Aşağıdaki tahmin, yukarıdaki temel kapsam ve hızlandırılmış teslim planı içindir. Ticari hesapta 20.000 TL + KDV kişi/gün birim bedel varsayılmıştır. Birim bedel farklıysa toplam tutar aynı efor üzerinden yeniden hesaplanabilir.</w:t>
      </w:r>
    </w:p>
    <w:tbl>
      <w:tblPr>
        <w:tblStyle w:val="TableGrid"/>
        <w:tblW w:type="auto" w:w="0"/>
        <w:jc w:val="center"/>
        <w:tblLayout w:type="fixed"/>
        <w:tblLook w:firstColumn="1" w:firstRow="1" w:lastColumn="0" w:lastRow="0" w:noHBand="0" w:noVBand="1" w:val="04A0"/>
      </w:tblPr>
      <w:tblGrid>
        <w:gridCol w:w="2479"/>
        <w:gridCol w:w="2479"/>
        <w:gridCol w:w="2479"/>
        <w:gridCol w:w="2479"/>
      </w:tblGrid>
      <w:tr>
        <w:trPr>
          <w:tblHeader w:val="true"/>
          <w:cantSplit/>
        </w:trPr>
        <w:tc>
          <w:tcPr>
            <w:tcW w:type="dxa" w:w="2324"/>
            <w:vAlign w:val="center"/>
            <w:tcMar>
              <w:top w:w="100" w:type="dxa"/>
              <w:start w:w="120" w:type="dxa"/>
              <w:bottom w:w="100" w:type="dxa"/>
              <w:end w:w="120" w:type="dxa"/>
            </w:tcMar>
            <w:shd w:fill="17324D"/>
          </w:tcPr>
          <w:p>
            <w:pPr>
              <w:spacing w:after="0"/>
            </w:pPr>
            <w:r/>
            <w:r>
              <w:rPr>
                <w:rFonts w:ascii="Aptos" w:hAnsi="Aptos"/>
                <w:b/>
                <w:color w:val="FFFFFF"/>
                <w:sz w:val="16"/>
              </w:rPr>
              <w:t>İş paketi</w:t>
            </w:r>
          </w:p>
        </w:tc>
        <w:tc>
          <w:tcPr>
            <w:tcW w:type="dxa" w:w="1587"/>
            <w:vAlign w:val="center"/>
            <w:tcMar>
              <w:top w:w="100" w:type="dxa"/>
              <w:start w:w="120" w:type="dxa"/>
              <w:bottom w:w="100" w:type="dxa"/>
              <w:end w:w="120" w:type="dxa"/>
            </w:tcMar>
            <w:shd w:fill="17324D"/>
          </w:tcPr>
          <w:p>
            <w:pPr>
              <w:spacing w:after="0"/>
            </w:pPr>
            <w:r/>
            <w:r>
              <w:rPr>
                <w:rFonts w:ascii="Aptos" w:hAnsi="Aptos"/>
                <w:b/>
                <w:color w:val="FFFFFF"/>
                <w:sz w:val="16"/>
              </w:rPr>
              <w:t>Efor</w:t>
            </w:r>
          </w:p>
        </w:tc>
        <w:tc>
          <w:tcPr>
            <w:tcW w:type="dxa" w:w="2154"/>
            <w:vAlign w:val="center"/>
            <w:tcMar>
              <w:top w:w="100" w:type="dxa"/>
              <w:start w:w="120" w:type="dxa"/>
              <w:bottom w:w="100" w:type="dxa"/>
              <w:end w:w="120" w:type="dxa"/>
            </w:tcMar>
            <w:shd w:fill="17324D"/>
          </w:tcPr>
          <w:p>
            <w:pPr>
              <w:spacing w:after="0"/>
            </w:pPr>
            <w:r/>
            <w:r>
              <w:rPr>
                <w:rFonts w:ascii="Aptos" w:hAnsi="Aptos"/>
                <w:b/>
                <w:color w:val="FFFFFF"/>
                <w:sz w:val="16"/>
              </w:rPr>
              <w:t>Tutar (TL + KDV)</w:t>
            </w:r>
          </w:p>
        </w:tc>
        <w:tc>
          <w:tcPr>
            <w:tcW w:type="dxa" w:w="3175"/>
            <w:vAlign w:val="center"/>
            <w:tcMar>
              <w:top w:w="100" w:type="dxa"/>
              <w:start w:w="120" w:type="dxa"/>
              <w:bottom w:w="100" w:type="dxa"/>
              <w:end w:w="120" w:type="dxa"/>
            </w:tcMar>
            <w:shd w:fill="17324D"/>
          </w:tcPr>
          <w:p>
            <w:pPr>
              <w:spacing w:after="0"/>
            </w:pPr>
            <w:r/>
            <w:r>
              <w:rPr>
                <w:rFonts w:ascii="Aptos" w:hAnsi="Aptos"/>
                <w:b/>
                <w:color w:val="FFFFFF"/>
                <w:sz w:val="16"/>
              </w:rPr>
              <w:t>İçerik</w:t>
            </w:r>
          </w:p>
        </w:tc>
      </w:tr>
      <w:tr>
        <w:trPr>
          <w:cantSplit/>
        </w:trPr>
        <w:tc>
          <w:tcPr>
            <w:tcW w:type="dxa" w:w="2324"/>
            <w:vAlign w:val="center"/>
            <w:tcMar>
              <w:top w:w="100" w:type="dxa"/>
              <w:start w:w="120" w:type="dxa"/>
              <w:bottom w:w="100" w:type="dxa"/>
              <w:end w:w="120" w:type="dxa"/>
            </w:tcMar>
          </w:tcPr>
          <w:p>
            <w:pPr>
              <w:spacing w:after="0"/>
            </w:pPr>
            <w:r/>
            <w:r>
              <w:rPr>
                <w:rFonts w:ascii="Aptos" w:hAnsi="Aptos"/>
                <w:b w:val="0"/>
                <w:color w:val="202B33"/>
                <w:sz w:val="15"/>
              </w:rPr>
              <w:t>Analiz ve veri eşleme</w:t>
            </w:r>
          </w:p>
        </w:tc>
        <w:tc>
          <w:tcPr>
            <w:tcW w:type="dxa" w:w="1587"/>
            <w:vAlign w:val="center"/>
            <w:tcMar>
              <w:top w:w="100" w:type="dxa"/>
              <w:start w:w="120" w:type="dxa"/>
              <w:bottom w:w="100" w:type="dxa"/>
              <w:end w:w="120" w:type="dxa"/>
            </w:tcMar>
          </w:tcPr>
          <w:p>
            <w:pPr>
              <w:spacing w:after="0"/>
            </w:pPr>
            <w:r/>
            <w:r>
              <w:rPr>
                <w:rFonts w:ascii="Aptos" w:hAnsi="Aptos"/>
                <w:b w:val="0"/>
                <w:color w:val="202B33"/>
                <w:sz w:val="15"/>
              </w:rPr>
              <w:t>3 kişi/gün</w:t>
            </w:r>
          </w:p>
        </w:tc>
        <w:tc>
          <w:tcPr>
            <w:tcW w:type="dxa" w:w="2154"/>
            <w:vAlign w:val="center"/>
            <w:tcMar>
              <w:top w:w="100" w:type="dxa"/>
              <w:start w:w="120" w:type="dxa"/>
              <w:bottom w:w="100" w:type="dxa"/>
              <w:end w:w="120" w:type="dxa"/>
            </w:tcMar>
          </w:tcPr>
          <w:p>
            <w:pPr>
              <w:spacing w:after="0"/>
            </w:pPr>
            <w:r/>
            <w:r>
              <w:rPr>
                <w:rFonts w:ascii="Aptos" w:hAnsi="Aptos"/>
                <w:b w:val="0"/>
                <w:color w:val="202B33"/>
                <w:sz w:val="15"/>
              </w:rPr>
              <w:t>60.000</w:t>
            </w:r>
          </w:p>
        </w:tc>
        <w:tc>
          <w:tcPr>
            <w:tcW w:type="dxa" w:w="3175"/>
            <w:vAlign w:val="center"/>
            <w:tcMar>
              <w:top w:w="100" w:type="dxa"/>
              <w:start w:w="120" w:type="dxa"/>
              <w:bottom w:w="100" w:type="dxa"/>
              <w:end w:w="120" w:type="dxa"/>
            </w:tcMar>
          </w:tcPr>
          <w:p>
            <w:pPr>
              <w:spacing w:after="0"/>
            </w:pPr>
            <w:r/>
            <w:r>
              <w:rPr>
                <w:rFonts w:ascii="Aptos" w:hAnsi="Aptos"/>
                <w:b w:val="0"/>
                <w:color w:val="202B33"/>
                <w:sz w:val="15"/>
              </w:rPr>
              <w:t>Alan haritası, kural kesinleştirme, örnek veri ve mutabakat tasarımı</w:t>
            </w:r>
          </w:p>
        </w:tc>
      </w:tr>
      <w:tr>
        <w:trPr>
          <w:cantSplit/>
        </w:trPr>
        <w:tc>
          <w:tcPr>
            <w:tcW w:type="dxa" w:w="2324"/>
            <w:vAlign w:val="center"/>
            <w:tcMar>
              <w:top w:w="100" w:type="dxa"/>
              <w:start w:w="120" w:type="dxa"/>
              <w:bottom w:w="100" w:type="dxa"/>
              <w:end w:w="120" w:type="dxa"/>
            </w:tcMar>
            <w:shd w:fill="F3F5F7"/>
          </w:tcPr>
          <w:p>
            <w:pPr>
              <w:spacing w:after="0"/>
            </w:pPr>
            <w:r/>
            <w:r>
              <w:rPr>
                <w:rFonts w:ascii="Aptos" w:hAnsi="Aptos"/>
                <w:b w:val="0"/>
                <w:color w:val="202B33"/>
                <w:sz w:val="15"/>
              </w:rPr>
              <w:t>NetSuite veri entegrasyonu</w:t>
            </w:r>
          </w:p>
        </w:tc>
        <w:tc>
          <w:tcPr>
            <w:tcW w:type="dxa" w:w="1587"/>
            <w:vAlign w:val="center"/>
            <w:tcMar>
              <w:top w:w="100" w:type="dxa"/>
              <w:start w:w="120" w:type="dxa"/>
              <w:bottom w:w="100" w:type="dxa"/>
              <w:end w:w="120" w:type="dxa"/>
            </w:tcMar>
            <w:shd w:fill="F3F5F7"/>
          </w:tcPr>
          <w:p>
            <w:pPr>
              <w:spacing w:after="0"/>
            </w:pPr>
            <w:r/>
            <w:r>
              <w:rPr>
                <w:rFonts w:ascii="Aptos" w:hAnsi="Aptos"/>
                <w:b w:val="0"/>
                <w:color w:val="202B33"/>
                <w:sz w:val="15"/>
              </w:rPr>
              <w:t>8 kişi/gün</w:t>
            </w:r>
          </w:p>
        </w:tc>
        <w:tc>
          <w:tcPr>
            <w:tcW w:type="dxa" w:w="2154"/>
            <w:vAlign w:val="center"/>
            <w:tcMar>
              <w:top w:w="100" w:type="dxa"/>
              <w:start w:w="120" w:type="dxa"/>
              <w:bottom w:w="100" w:type="dxa"/>
              <w:end w:w="120" w:type="dxa"/>
            </w:tcMar>
            <w:shd w:fill="F3F5F7"/>
          </w:tcPr>
          <w:p>
            <w:pPr>
              <w:spacing w:after="0"/>
            </w:pPr>
            <w:r/>
            <w:r>
              <w:rPr>
                <w:rFonts w:ascii="Aptos" w:hAnsi="Aptos"/>
                <w:b w:val="0"/>
                <w:color w:val="202B33"/>
                <w:sz w:val="15"/>
              </w:rPr>
              <w:t>160.000</w:t>
            </w:r>
          </w:p>
        </w:tc>
        <w:tc>
          <w:tcPr>
            <w:tcW w:type="dxa" w:w="3175"/>
            <w:vAlign w:val="center"/>
            <w:tcMar>
              <w:top w:w="100" w:type="dxa"/>
              <w:start w:w="120" w:type="dxa"/>
              <w:bottom w:w="100" w:type="dxa"/>
              <w:end w:w="120" w:type="dxa"/>
            </w:tcMar>
            <w:shd w:fill="F3F5F7"/>
          </w:tcPr>
          <w:p>
            <w:pPr>
              <w:spacing w:after="0"/>
            </w:pPr>
            <w:r/>
            <w:r>
              <w:rPr>
                <w:rFonts w:ascii="Aptos" w:hAnsi="Aptos"/>
                <w:b w:val="0"/>
                <w:color w:val="202B33"/>
                <w:sz w:val="15"/>
              </w:rPr>
              <w:t>Ürün, satış, iade, stok, Order Type ve location verisi; delta/snapshot</w:t>
            </w:r>
          </w:p>
        </w:tc>
      </w:tr>
      <w:tr>
        <w:trPr>
          <w:cantSplit/>
        </w:trPr>
        <w:tc>
          <w:tcPr>
            <w:tcW w:type="dxa" w:w="2324"/>
            <w:vAlign w:val="center"/>
            <w:tcMar>
              <w:top w:w="100" w:type="dxa"/>
              <w:start w:w="120" w:type="dxa"/>
              <w:bottom w:w="100" w:type="dxa"/>
              <w:end w:w="120" w:type="dxa"/>
            </w:tcMar>
          </w:tcPr>
          <w:p>
            <w:pPr>
              <w:spacing w:after="0"/>
            </w:pPr>
            <w:r/>
            <w:r>
              <w:rPr>
                <w:rFonts w:ascii="Aptos" w:hAnsi="Aptos"/>
                <w:b w:val="0"/>
                <w:color w:val="202B33"/>
                <w:sz w:val="15"/>
              </w:rPr>
              <w:t>Planlama ve alokasyon geliştirmesi</w:t>
            </w:r>
          </w:p>
        </w:tc>
        <w:tc>
          <w:tcPr>
            <w:tcW w:type="dxa" w:w="1587"/>
            <w:vAlign w:val="center"/>
            <w:tcMar>
              <w:top w:w="100" w:type="dxa"/>
              <w:start w:w="120" w:type="dxa"/>
              <w:bottom w:w="100" w:type="dxa"/>
              <w:end w:w="120" w:type="dxa"/>
            </w:tcMar>
          </w:tcPr>
          <w:p>
            <w:pPr>
              <w:spacing w:after="0"/>
            </w:pPr>
            <w:r/>
            <w:r>
              <w:rPr>
                <w:rFonts w:ascii="Aptos" w:hAnsi="Aptos"/>
                <w:b w:val="0"/>
                <w:color w:val="202B33"/>
                <w:sz w:val="15"/>
              </w:rPr>
              <w:t>10 kişi/gün</w:t>
            </w:r>
          </w:p>
        </w:tc>
        <w:tc>
          <w:tcPr>
            <w:tcW w:type="dxa" w:w="2154"/>
            <w:vAlign w:val="center"/>
            <w:tcMar>
              <w:top w:w="100" w:type="dxa"/>
              <w:start w:w="120" w:type="dxa"/>
              <w:bottom w:w="100" w:type="dxa"/>
              <w:end w:w="120" w:type="dxa"/>
            </w:tcMar>
          </w:tcPr>
          <w:p>
            <w:pPr>
              <w:spacing w:after="0"/>
            </w:pPr>
            <w:r/>
            <w:r>
              <w:rPr>
                <w:rFonts w:ascii="Aptos" w:hAnsi="Aptos"/>
                <w:b w:val="0"/>
                <w:color w:val="202B33"/>
                <w:sz w:val="15"/>
              </w:rPr>
              <w:t>200.000</w:t>
            </w:r>
          </w:p>
        </w:tc>
        <w:tc>
          <w:tcPr>
            <w:tcW w:type="dxa" w:w="3175"/>
            <w:vAlign w:val="center"/>
            <w:tcMar>
              <w:top w:w="100" w:type="dxa"/>
              <w:start w:w="120" w:type="dxa"/>
              <w:bottom w:w="100" w:type="dxa"/>
              <w:end w:w="120" w:type="dxa"/>
            </w:tcMar>
          </w:tcPr>
          <w:p>
            <w:pPr>
              <w:spacing w:after="0"/>
            </w:pPr>
            <w:r/>
            <w:r>
              <w:rPr>
                <w:rFonts w:ascii="Aptos" w:hAnsi="Aptos"/>
                <w:b w:val="0"/>
                <w:color w:val="202B33"/>
                <w:sz w:val="15"/>
              </w:rPr>
              <w:t>Tahmin, ihtiyaç, öncelik, depo payı ve stok açığı hesapları</w:t>
            </w:r>
          </w:p>
        </w:tc>
      </w:tr>
      <w:tr>
        <w:trPr>
          <w:cantSplit/>
        </w:trPr>
        <w:tc>
          <w:tcPr>
            <w:tcW w:type="dxa" w:w="2324"/>
            <w:vAlign w:val="center"/>
            <w:tcMar>
              <w:top w:w="100" w:type="dxa"/>
              <w:start w:w="120" w:type="dxa"/>
              <w:bottom w:w="100" w:type="dxa"/>
              <w:end w:w="120" w:type="dxa"/>
            </w:tcMar>
            <w:shd w:fill="F3F5F7"/>
          </w:tcPr>
          <w:p>
            <w:pPr>
              <w:spacing w:after="0"/>
            </w:pPr>
            <w:r/>
            <w:r>
              <w:rPr>
                <w:rFonts w:ascii="Aptos" w:hAnsi="Aptos"/>
                <w:b w:val="0"/>
                <w:color w:val="202B33"/>
                <w:sz w:val="15"/>
              </w:rPr>
              <w:t>Kullanıcı ekranı ve dışa aktarım</w:t>
            </w:r>
          </w:p>
        </w:tc>
        <w:tc>
          <w:tcPr>
            <w:tcW w:type="dxa" w:w="1587"/>
            <w:vAlign w:val="center"/>
            <w:tcMar>
              <w:top w:w="100" w:type="dxa"/>
              <w:start w:w="120" w:type="dxa"/>
              <w:bottom w:w="100" w:type="dxa"/>
              <w:end w:w="120" w:type="dxa"/>
            </w:tcMar>
            <w:shd w:fill="F3F5F7"/>
          </w:tcPr>
          <w:p>
            <w:pPr>
              <w:spacing w:after="0"/>
            </w:pPr>
            <w:r/>
            <w:r>
              <w:rPr>
                <w:rFonts w:ascii="Aptos" w:hAnsi="Aptos"/>
                <w:b w:val="0"/>
                <w:color w:val="202B33"/>
                <w:sz w:val="15"/>
              </w:rPr>
              <w:t>5 kişi/gün</w:t>
            </w:r>
          </w:p>
        </w:tc>
        <w:tc>
          <w:tcPr>
            <w:tcW w:type="dxa" w:w="2154"/>
            <w:vAlign w:val="center"/>
            <w:tcMar>
              <w:top w:w="100" w:type="dxa"/>
              <w:start w:w="120" w:type="dxa"/>
              <w:bottom w:w="100" w:type="dxa"/>
              <w:end w:w="120" w:type="dxa"/>
            </w:tcMar>
            <w:shd w:fill="F3F5F7"/>
          </w:tcPr>
          <w:p>
            <w:pPr>
              <w:spacing w:after="0"/>
            </w:pPr>
            <w:r/>
            <w:r>
              <w:rPr>
                <w:rFonts w:ascii="Aptos" w:hAnsi="Aptos"/>
                <w:b w:val="0"/>
                <w:color w:val="202B33"/>
                <w:sz w:val="15"/>
              </w:rPr>
              <w:t>100.000</w:t>
            </w:r>
          </w:p>
        </w:tc>
        <w:tc>
          <w:tcPr>
            <w:tcW w:type="dxa" w:w="3175"/>
            <w:vAlign w:val="center"/>
            <w:tcMar>
              <w:top w:w="100" w:type="dxa"/>
              <w:start w:w="120" w:type="dxa"/>
              <w:bottom w:w="100" w:type="dxa"/>
              <w:end w:w="120" w:type="dxa"/>
            </w:tcMar>
            <w:shd w:fill="F3F5F7"/>
          </w:tcPr>
          <w:p>
            <w:pPr>
              <w:spacing w:after="0"/>
            </w:pPr>
            <w:r/>
            <w:r>
              <w:rPr>
                <w:rFonts w:ascii="Aptos" w:hAnsi="Aptos"/>
                <w:b w:val="0"/>
                <w:color w:val="202B33"/>
                <w:sz w:val="15"/>
              </w:rPr>
              <w:t>Filtreler, sonuçlar, hesap izi, Excel/CSV</w:t>
            </w:r>
          </w:p>
        </w:tc>
      </w:tr>
      <w:tr>
        <w:trPr>
          <w:cantSplit/>
        </w:trPr>
        <w:tc>
          <w:tcPr>
            <w:tcW w:type="dxa" w:w="2324"/>
            <w:vAlign w:val="center"/>
            <w:tcMar>
              <w:top w:w="100" w:type="dxa"/>
              <w:start w:w="120" w:type="dxa"/>
              <w:bottom w:w="100" w:type="dxa"/>
              <w:end w:w="120" w:type="dxa"/>
            </w:tcMar>
          </w:tcPr>
          <w:p>
            <w:pPr>
              <w:spacing w:after="0"/>
            </w:pPr>
            <w:r/>
            <w:r>
              <w:rPr>
                <w:rFonts w:ascii="Aptos" w:hAnsi="Aptos"/>
                <w:b w:val="0"/>
                <w:color w:val="202B33"/>
                <w:sz w:val="15"/>
              </w:rPr>
              <w:t>Test, veri mutabakatı ve UAT</w:t>
            </w:r>
          </w:p>
        </w:tc>
        <w:tc>
          <w:tcPr>
            <w:tcW w:type="dxa" w:w="1587"/>
            <w:vAlign w:val="center"/>
            <w:tcMar>
              <w:top w:w="100" w:type="dxa"/>
              <w:start w:w="120" w:type="dxa"/>
              <w:bottom w:w="100" w:type="dxa"/>
              <w:end w:w="120" w:type="dxa"/>
            </w:tcMar>
          </w:tcPr>
          <w:p>
            <w:pPr>
              <w:spacing w:after="0"/>
            </w:pPr>
            <w:r/>
            <w:r>
              <w:rPr>
                <w:rFonts w:ascii="Aptos" w:hAnsi="Aptos"/>
                <w:b w:val="0"/>
                <w:color w:val="202B33"/>
                <w:sz w:val="15"/>
              </w:rPr>
              <w:t>5 kişi/gün</w:t>
            </w:r>
          </w:p>
        </w:tc>
        <w:tc>
          <w:tcPr>
            <w:tcW w:type="dxa" w:w="2154"/>
            <w:vAlign w:val="center"/>
            <w:tcMar>
              <w:top w:w="100" w:type="dxa"/>
              <w:start w:w="120" w:type="dxa"/>
              <w:bottom w:w="100" w:type="dxa"/>
              <w:end w:w="120" w:type="dxa"/>
            </w:tcMar>
          </w:tcPr>
          <w:p>
            <w:pPr>
              <w:spacing w:after="0"/>
            </w:pPr>
            <w:r/>
            <w:r>
              <w:rPr>
                <w:rFonts w:ascii="Aptos" w:hAnsi="Aptos"/>
                <w:b w:val="0"/>
                <w:color w:val="202B33"/>
                <w:sz w:val="15"/>
              </w:rPr>
              <w:t>100.000</w:t>
            </w:r>
          </w:p>
        </w:tc>
        <w:tc>
          <w:tcPr>
            <w:tcW w:type="dxa" w:w="3175"/>
            <w:vAlign w:val="center"/>
            <w:tcMar>
              <w:top w:w="100" w:type="dxa"/>
              <w:start w:w="120" w:type="dxa"/>
              <w:bottom w:w="100" w:type="dxa"/>
              <w:end w:w="120" w:type="dxa"/>
            </w:tcMar>
          </w:tcPr>
          <w:p>
            <w:pPr>
              <w:spacing w:after="0"/>
            </w:pPr>
            <w:r/>
            <w:r>
              <w:rPr>
                <w:rFonts w:ascii="Aptos" w:hAnsi="Aptos"/>
                <w:b w:val="0"/>
                <w:color w:val="202B33"/>
                <w:sz w:val="15"/>
              </w:rPr>
              <w:t>Birim test, örnek dönem kontrolü, kullanıcı kabul desteği</w:t>
            </w:r>
          </w:p>
        </w:tc>
      </w:tr>
      <w:tr>
        <w:trPr>
          <w:cantSplit/>
        </w:trPr>
        <w:tc>
          <w:tcPr>
            <w:tcW w:type="dxa" w:w="2324"/>
            <w:vAlign w:val="center"/>
            <w:tcMar>
              <w:top w:w="100" w:type="dxa"/>
              <w:start w:w="120" w:type="dxa"/>
              <w:bottom w:w="100" w:type="dxa"/>
              <w:end w:w="120" w:type="dxa"/>
            </w:tcMar>
            <w:shd w:fill="F3F5F7"/>
          </w:tcPr>
          <w:p>
            <w:pPr>
              <w:spacing w:after="0"/>
            </w:pPr>
            <w:r/>
            <w:r>
              <w:rPr>
                <w:rFonts w:ascii="Aptos" w:hAnsi="Aptos"/>
                <w:b w:val="0"/>
                <w:color w:val="202B33"/>
                <w:sz w:val="15"/>
              </w:rPr>
              <w:t>Sunucu kurulumu, eğitim ve canlı geçiş</w:t>
            </w:r>
          </w:p>
        </w:tc>
        <w:tc>
          <w:tcPr>
            <w:tcW w:type="dxa" w:w="1587"/>
            <w:vAlign w:val="center"/>
            <w:tcMar>
              <w:top w:w="100" w:type="dxa"/>
              <w:start w:w="120" w:type="dxa"/>
              <w:bottom w:w="100" w:type="dxa"/>
              <w:end w:w="120" w:type="dxa"/>
            </w:tcMar>
            <w:shd w:fill="F3F5F7"/>
          </w:tcPr>
          <w:p>
            <w:pPr>
              <w:spacing w:after="0"/>
            </w:pPr>
            <w:r/>
            <w:r>
              <w:rPr>
                <w:rFonts w:ascii="Aptos" w:hAnsi="Aptos"/>
                <w:b w:val="0"/>
                <w:color w:val="202B33"/>
                <w:sz w:val="15"/>
              </w:rPr>
              <w:t>3 kişi/gün</w:t>
            </w:r>
          </w:p>
        </w:tc>
        <w:tc>
          <w:tcPr>
            <w:tcW w:type="dxa" w:w="2154"/>
            <w:vAlign w:val="center"/>
            <w:tcMar>
              <w:top w:w="100" w:type="dxa"/>
              <w:start w:w="120" w:type="dxa"/>
              <w:bottom w:w="100" w:type="dxa"/>
              <w:end w:w="120" w:type="dxa"/>
            </w:tcMar>
            <w:shd w:fill="F3F5F7"/>
          </w:tcPr>
          <w:p>
            <w:pPr>
              <w:spacing w:after="0"/>
            </w:pPr>
            <w:r/>
            <w:r>
              <w:rPr>
                <w:rFonts w:ascii="Aptos" w:hAnsi="Aptos"/>
                <w:b w:val="0"/>
                <w:color w:val="202B33"/>
                <w:sz w:val="15"/>
              </w:rPr>
              <w:t>60.000</w:t>
            </w:r>
          </w:p>
        </w:tc>
        <w:tc>
          <w:tcPr>
            <w:tcW w:type="dxa" w:w="3175"/>
            <w:vAlign w:val="center"/>
            <w:tcMar>
              <w:top w:w="100" w:type="dxa"/>
              <w:start w:w="120" w:type="dxa"/>
              <w:bottom w:w="100" w:type="dxa"/>
              <w:end w:w="120" w:type="dxa"/>
            </w:tcMar>
            <w:shd w:fill="F3F5F7"/>
          </w:tcPr>
          <w:p>
            <w:pPr>
              <w:spacing w:after="0"/>
            </w:pPr>
            <w:r/>
            <w:r>
              <w:rPr>
                <w:rFonts w:ascii="Aptos" w:hAnsi="Aptos"/>
                <w:b w:val="0"/>
                <w:color w:val="202B33"/>
                <w:sz w:val="15"/>
              </w:rPr>
              <w:t>Kurulum, konfigürasyon, kısa eğitim ve canlı kontrol</w:t>
            </w:r>
          </w:p>
        </w:tc>
      </w:tr>
      <w:tr>
        <w:trPr>
          <w:cantSplit/>
        </w:trPr>
        <w:tc>
          <w:tcPr>
            <w:tcW w:type="dxa" w:w="2324"/>
            <w:vAlign w:val="center"/>
            <w:tcMar>
              <w:top w:w="100" w:type="dxa"/>
              <w:start w:w="120" w:type="dxa"/>
              <w:bottom w:w="100" w:type="dxa"/>
              <w:end w:w="120" w:type="dxa"/>
            </w:tcMar>
          </w:tcPr>
          <w:p>
            <w:pPr>
              <w:spacing w:after="0"/>
            </w:pPr>
            <w:r/>
            <w:r>
              <w:rPr>
                <w:rFonts w:ascii="Aptos" w:hAnsi="Aptos"/>
                <w:b w:val="0"/>
                <w:color w:val="202B33"/>
                <w:sz w:val="15"/>
              </w:rPr>
              <w:t>Toplam</w:t>
            </w:r>
          </w:p>
        </w:tc>
        <w:tc>
          <w:tcPr>
            <w:tcW w:type="dxa" w:w="1587"/>
            <w:vAlign w:val="center"/>
            <w:tcMar>
              <w:top w:w="100" w:type="dxa"/>
              <w:start w:w="120" w:type="dxa"/>
              <w:bottom w:w="100" w:type="dxa"/>
              <w:end w:w="120" w:type="dxa"/>
            </w:tcMar>
          </w:tcPr>
          <w:p>
            <w:pPr>
              <w:spacing w:after="0"/>
            </w:pPr>
            <w:r/>
            <w:r>
              <w:rPr>
                <w:rFonts w:ascii="Aptos" w:hAnsi="Aptos"/>
                <w:b w:val="0"/>
                <w:color w:val="202B33"/>
                <w:sz w:val="15"/>
              </w:rPr>
              <w:t>34 kişi/gün</w:t>
            </w:r>
          </w:p>
        </w:tc>
        <w:tc>
          <w:tcPr>
            <w:tcW w:type="dxa" w:w="2154"/>
            <w:vAlign w:val="center"/>
            <w:tcMar>
              <w:top w:w="100" w:type="dxa"/>
              <w:start w:w="120" w:type="dxa"/>
              <w:bottom w:w="100" w:type="dxa"/>
              <w:end w:w="120" w:type="dxa"/>
            </w:tcMar>
          </w:tcPr>
          <w:p>
            <w:pPr>
              <w:spacing w:after="0"/>
            </w:pPr>
            <w:r/>
            <w:r>
              <w:rPr>
                <w:rFonts w:ascii="Aptos" w:hAnsi="Aptos"/>
                <w:b w:val="0"/>
                <w:color w:val="202B33"/>
                <w:sz w:val="15"/>
              </w:rPr>
              <w:t>680.000</w:t>
            </w:r>
          </w:p>
        </w:tc>
        <w:tc>
          <w:tcPr>
            <w:tcW w:type="dxa" w:w="3175"/>
            <w:vAlign w:val="center"/>
            <w:tcMar>
              <w:top w:w="100" w:type="dxa"/>
              <w:start w:w="120" w:type="dxa"/>
              <w:bottom w:w="100" w:type="dxa"/>
              <w:end w:w="120" w:type="dxa"/>
            </w:tcMar>
          </w:tcPr>
          <w:p>
            <w:pPr>
              <w:spacing w:after="0"/>
            </w:pPr>
            <w:r/>
            <w:r>
              <w:rPr>
                <w:rFonts w:ascii="Aptos" w:hAnsi="Aptos"/>
                <w:b w:val="0"/>
                <w:color w:val="202B33"/>
                <w:sz w:val="15"/>
              </w:rPr>
              <w:t>Sabitlenen temel kapsam</w:t>
            </w:r>
          </w:p>
        </w:tc>
      </w:tr>
    </w:tbl>
    <w:p>
      <w:pPr>
        <w:spacing w:after="0"/>
      </w:pPr>
    </w:p>
    <w:tbl>
      <w:tblPr>
        <w:tblW w:type="auto" w:w="0"/>
        <w:tblLayout w:type="fixed"/>
        <w:tblLook w:firstColumn="1" w:firstRow="1" w:lastColumn="0" w:lastRow="0" w:noHBand="0" w:noVBand="1" w:val="04A0"/>
      </w:tblPr>
      <w:tblGrid>
        <w:gridCol w:w="4957"/>
        <w:gridCol w:w="4957"/>
      </w:tblGrid>
      <w:tr>
        <w:tc>
          <w:tcPr>
            <w:tcW w:type="dxa" w:w="142"/>
            <w:shd w:fill="17324D"/>
            <w:tcMar>
              <w:top w:w="30" w:type="dxa"/>
              <w:start w:w="20" w:type="dxa"/>
              <w:bottom w:w="30" w:type="dxa"/>
              <w:end w:w="20" w:type="dxa"/>
            </w:tcMar>
          </w:tcPr>
          <w:p/>
        </w:tc>
        <w:tc>
          <w:tcPr>
            <w:tcW w:type="dxa" w:w="9071"/>
            <w:shd w:fill="EAF0F6"/>
            <w:tcMar>
              <w:top w:w="150" w:type="dxa"/>
              <w:start w:w="220" w:type="dxa"/>
              <w:bottom w:w="150" w:type="dxa"/>
              <w:end w:w="220" w:type="dxa"/>
            </w:tcMar>
          </w:tcPr>
          <w:p>
            <w:pPr>
              <w:spacing w:after="80"/>
            </w:pPr>
            <w:r/>
            <w:r>
              <w:rPr>
                <w:rFonts w:ascii="Aptos Display" w:hAnsi="Aptos Display"/>
                <w:b/>
                <w:color w:val="17324D"/>
                <w:sz w:val="22"/>
              </w:rPr>
              <w:t>Ticari not</w:t>
            </w:r>
          </w:p>
          <w:p>
            <w:pPr>
              <w:spacing w:after="0"/>
            </w:pPr>
            <w:r>
              <w:t>680.000 TL + KDV örnek sabit fiyat teklifidir ve 20.000 TL kişi/gün varsayımına dayanır. NetSuite lisansı, üçüncü taraf lisanslar, sunucu/donanım, VPN/sertifika ve kapsam dışı geliştirmeler fiyata dahil değildir.</w:t>
            </w:r>
          </w:p>
        </w:tc>
      </w:tr>
    </w:tbl>
    <w:p>
      <w:pPr>
        <w:spacing w:after="0"/>
      </w:pPr>
    </w:p>
    <w:p>
      <w:pPr>
        <w:pStyle w:val="Heading1"/>
      </w:pPr>
      <w:r>
        <w:t>8. Takvim ve teslim planı</w:t>
      </w:r>
    </w:p>
    <w:p>
      <w:r>
        <w:t>Takvim; kapsam onayı, satın alma/onay işlemleri ve gerekli NetSuite erişimlerinin 14 Ekim 2026 mesai sonuna kadar tamamlandığı varsayımıyla hazırlanmıştır. Çalışmaya 15 Ekim 2026 tarihinde başlanabilir. Hızlandırılmış teslim için analiz, entegrasyon ve uygulama işleri paralel yürütülür.</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1984"/>
            <w:vAlign w:val="center"/>
            <w:tcMar>
              <w:top w:w="100" w:type="dxa"/>
              <w:start w:w="120" w:type="dxa"/>
              <w:bottom w:w="100" w:type="dxa"/>
              <w:end w:w="120" w:type="dxa"/>
            </w:tcMar>
            <w:shd w:fill="17324D"/>
          </w:tcPr>
          <w:p>
            <w:pPr>
              <w:spacing w:after="0"/>
            </w:pPr>
            <w:r/>
            <w:r>
              <w:rPr>
                <w:rFonts w:ascii="Aptos" w:hAnsi="Aptos"/>
                <w:b/>
                <w:color w:val="FFFFFF"/>
                <w:sz w:val="16"/>
              </w:rPr>
              <w:t>Tarih</w:t>
            </w:r>
          </w:p>
        </w:tc>
        <w:tc>
          <w:tcPr>
            <w:tcW w:type="dxa" w:w="3288"/>
            <w:vAlign w:val="center"/>
            <w:tcMar>
              <w:top w:w="100" w:type="dxa"/>
              <w:start w:w="120" w:type="dxa"/>
              <w:bottom w:w="100" w:type="dxa"/>
              <w:end w:w="120" w:type="dxa"/>
            </w:tcMar>
            <w:shd w:fill="17324D"/>
          </w:tcPr>
          <w:p>
            <w:pPr>
              <w:spacing w:after="0"/>
            </w:pPr>
            <w:r/>
            <w:r>
              <w:rPr>
                <w:rFonts w:ascii="Aptos" w:hAnsi="Aptos"/>
                <w:b/>
                <w:color w:val="FFFFFF"/>
                <w:sz w:val="16"/>
              </w:rPr>
              <w:t>Aşama</w:t>
            </w:r>
          </w:p>
        </w:tc>
        <w:tc>
          <w:tcPr>
            <w:tcW w:type="dxa" w:w="3969"/>
            <w:vAlign w:val="center"/>
            <w:tcMar>
              <w:top w:w="100" w:type="dxa"/>
              <w:start w:w="120" w:type="dxa"/>
              <w:bottom w:w="100" w:type="dxa"/>
              <w:end w:w="120" w:type="dxa"/>
            </w:tcMar>
            <w:shd w:fill="17324D"/>
          </w:tcPr>
          <w:p>
            <w:pPr>
              <w:spacing w:after="0"/>
            </w:pPr>
            <w:r/>
            <w:r>
              <w:rPr>
                <w:rFonts w:ascii="Aptos" w:hAnsi="Aptos"/>
                <w:b/>
                <w:color w:val="FFFFFF"/>
                <w:sz w:val="16"/>
              </w:rPr>
              <w:t>Teslim / kabul noktası</w:t>
            </w:r>
          </w:p>
        </w:tc>
      </w:tr>
      <w:tr>
        <w:trPr>
          <w:cantSplit/>
        </w:trPr>
        <w:tc>
          <w:tcPr>
            <w:tcW w:type="dxa" w:w="1984"/>
            <w:vAlign w:val="center"/>
            <w:tcMar>
              <w:top w:w="100" w:type="dxa"/>
              <w:start w:w="120" w:type="dxa"/>
              <w:bottom w:w="100" w:type="dxa"/>
              <w:end w:w="120" w:type="dxa"/>
            </w:tcMar>
          </w:tcPr>
          <w:p>
            <w:pPr>
              <w:spacing w:after="0"/>
            </w:pPr>
            <w:r/>
            <w:r>
              <w:rPr>
                <w:rFonts w:ascii="Aptos" w:hAnsi="Aptos"/>
                <w:b w:val="0"/>
                <w:color w:val="202B33"/>
                <w:sz w:val="16"/>
              </w:rPr>
              <w:t>15–20 Ekim 2026</w:t>
            </w:r>
          </w:p>
        </w:tc>
        <w:tc>
          <w:tcPr>
            <w:tcW w:type="dxa" w:w="3288"/>
            <w:vAlign w:val="center"/>
            <w:tcMar>
              <w:top w:w="100" w:type="dxa"/>
              <w:start w:w="120" w:type="dxa"/>
              <w:bottom w:w="100" w:type="dxa"/>
              <w:end w:w="120" w:type="dxa"/>
            </w:tcMar>
          </w:tcPr>
          <w:p>
            <w:pPr>
              <w:spacing w:after="0"/>
            </w:pPr>
            <w:r/>
            <w:r>
              <w:rPr>
                <w:rFonts w:ascii="Aptos" w:hAnsi="Aptos"/>
                <w:b w:val="0"/>
                <w:color w:val="202B33"/>
                <w:sz w:val="16"/>
              </w:rPr>
              <w:t>Başlangıç, alan haritası ve örnek veri</w:t>
            </w:r>
          </w:p>
        </w:tc>
        <w:tc>
          <w:tcPr>
            <w:tcW w:type="dxa" w:w="3969"/>
            <w:vAlign w:val="center"/>
            <w:tcMar>
              <w:top w:w="100" w:type="dxa"/>
              <w:start w:w="120" w:type="dxa"/>
              <w:bottom w:w="100" w:type="dxa"/>
              <w:end w:w="120" w:type="dxa"/>
            </w:tcMar>
          </w:tcPr>
          <w:p>
            <w:pPr>
              <w:spacing w:after="0"/>
            </w:pPr>
            <w:r/>
            <w:r>
              <w:rPr>
                <w:rFonts w:ascii="Aptos" w:hAnsi="Aptos"/>
                <w:b w:val="0"/>
                <w:color w:val="202B33"/>
                <w:sz w:val="16"/>
              </w:rPr>
              <w:t>Onaylı veri sözlüğü ve kesin hesap kuralları</w:t>
            </w:r>
          </w:p>
        </w:tc>
      </w:tr>
      <w:tr>
        <w:trPr>
          <w:cantSplit/>
        </w:trPr>
        <w:tc>
          <w:tcPr>
            <w:tcW w:type="dxa" w:w="1984"/>
            <w:vAlign w:val="center"/>
            <w:tcMar>
              <w:top w:w="100" w:type="dxa"/>
              <w:start w:w="120" w:type="dxa"/>
              <w:bottom w:w="100" w:type="dxa"/>
              <w:end w:w="120" w:type="dxa"/>
            </w:tcMar>
            <w:shd w:fill="F3F5F7"/>
          </w:tcPr>
          <w:p>
            <w:pPr>
              <w:spacing w:after="0"/>
            </w:pPr>
            <w:r/>
            <w:r>
              <w:rPr>
                <w:rFonts w:ascii="Aptos" w:hAnsi="Aptos"/>
                <w:b w:val="0"/>
                <w:color w:val="202B33"/>
                <w:sz w:val="16"/>
              </w:rPr>
              <w:t>21–30 Ekim 2026</w:t>
            </w:r>
          </w:p>
        </w:tc>
        <w:tc>
          <w:tcPr>
            <w:tcW w:type="dxa" w:w="3288"/>
            <w:vAlign w:val="center"/>
            <w:tcMar>
              <w:top w:w="100" w:type="dxa"/>
              <w:start w:w="120" w:type="dxa"/>
              <w:bottom w:w="100" w:type="dxa"/>
              <w:end w:w="120" w:type="dxa"/>
            </w:tcMar>
            <w:shd w:fill="F3F5F7"/>
          </w:tcPr>
          <w:p>
            <w:pPr>
              <w:spacing w:after="0"/>
            </w:pPr>
            <w:r/>
            <w:r>
              <w:rPr>
                <w:rFonts w:ascii="Aptos" w:hAnsi="Aptos"/>
                <w:b w:val="0"/>
                <w:color w:val="202B33"/>
                <w:sz w:val="16"/>
              </w:rPr>
              <w:t>NetSuite veri alımı ve mutabakat</w:t>
            </w:r>
          </w:p>
        </w:tc>
        <w:tc>
          <w:tcPr>
            <w:tcW w:type="dxa" w:w="3969"/>
            <w:vAlign w:val="center"/>
            <w:tcMar>
              <w:top w:w="100" w:type="dxa"/>
              <w:start w:w="120" w:type="dxa"/>
              <w:bottom w:w="100" w:type="dxa"/>
              <w:end w:w="120" w:type="dxa"/>
            </w:tcMar>
            <w:shd w:fill="F3F5F7"/>
          </w:tcPr>
          <w:p>
            <w:pPr>
              <w:spacing w:after="0"/>
            </w:pPr>
            <w:r/>
            <w:r>
              <w:rPr>
                <w:rFonts w:ascii="Aptos" w:hAnsi="Aptos"/>
                <w:b w:val="0"/>
                <w:color w:val="202B33"/>
                <w:sz w:val="16"/>
              </w:rPr>
              <w:t>Ürün/satış/iade/stok örneklerinde kontrol raporuyla uyum</w:t>
            </w:r>
          </w:p>
        </w:tc>
      </w:tr>
      <w:tr>
        <w:trPr>
          <w:cantSplit/>
        </w:trPr>
        <w:tc>
          <w:tcPr>
            <w:tcW w:type="dxa" w:w="1984"/>
            <w:vAlign w:val="center"/>
            <w:tcMar>
              <w:top w:w="100" w:type="dxa"/>
              <w:start w:w="120" w:type="dxa"/>
              <w:bottom w:w="100" w:type="dxa"/>
              <w:end w:w="120" w:type="dxa"/>
            </w:tcMar>
          </w:tcPr>
          <w:p>
            <w:pPr>
              <w:spacing w:after="0"/>
            </w:pPr>
            <w:r/>
            <w:r>
              <w:rPr>
                <w:rFonts w:ascii="Aptos" w:hAnsi="Aptos"/>
                <w:b w:val="0"/>
                <w:color w:val="202B33"/>
                <w:sz w:val="16"/>
              </w:rPr>
              <w:t>22 Ekim–5 Kasım 2026</w:t>
            </w:r>
          </w:p>
        </w:tc>
        <w:tc>
          <w:tcPr>
            <w:tcW w:type="dxa" w:w="3288"/>
            <w:vAlign w:val="center"/>
            <w:tcMar>
              <w:top w:w="100" w:type="dxa"/>
              <w:start w:w="120" w:type="dxa"/>
              <w:bottom w:w="100" w:type="dxa"/>
              <w:end w:w="120" w:type="dxa"/>
            </w:tcMar>
          </w:tcPr>
          <w:p>
            <w:pPr>
              <w:spacing w:after="0"/>
            </w:pPr>
            <w:r/>
            <w:r>
              <w:rPr>
                <w:rFonts w:ascii="Aptos" w:hAnsi="Aptos"/>
                <w:b w:val="0"/>
                <w:color w:val="202B33"/>
                <w:sz w:val="16"/>
              </w:rPr>
              <w:t>Hesap motoru ve temel ekran</w:t>
            </w:r>
          </w:p>
        </w:tc>
        <w:tc>
          <w:tcPr>
            <w:tcW w:type="dxa" w:w="3969"/>
            <w:vAlign w:val="center"/>
            <w:tcMar>
              <w:top w:w="100" w:type="dxa"/>
              <w:start w:w="120" w:type="dxa"/>
              <w:bottom w:w="100" w:type="dxa"/>
              <w:end w:w="120" w:type="dxa"/>
            </w:tcMar>
          </w:tcPr>
          <w:p>
            <w:pPr>
              <w:spacing w:after="0"/>
            </w:pPr>
            <w:r/>
            <w:r>
              <w:rPr>
                <w:rFonts w:ascii="Aptos" w:hAnsi="Aptos"/>
                <w:b w:val="0"/>
                <w:color w:val="202B33"/>
                <w:sz w:val="16"/>
              </w:rPr>
              <w:t>Eş dönem tahmin, üretim ve depo alokasyon çıktısı</w:t>
            </w:r>
          </w:p>
        </w:tc>
      </w:tr>
      <w:tr>
        <w:trPr>
          <w:cantSplit/>
        </w:trPr>
        <w:tc>
          <w:tcPr>
            <w:tcW w:type="dxa" w:w="1984"/>
            <w:vAlign w:val="center"/>
            <w:tcMar>
              <w:top w:w="100" w:type="dxa"/>
              <w:start w:w="120" w:type="dxa"/>
              <w:bottom w:w="100" w:type="dxa"/>
              <w:end w:w="120" w:type="dxa"/>
            </w:tcMar>
            <w:shd w:fill="F3F5F7"/>
          </w:tcPr>
          <w:p>
            <w:pPr>
              <w:spacing w:after="0"/>
            </w:pPr>
            <w:r/>
            <w:r>
              <w:rPr>
                <w:rFonts w:ascii="Aptos" w:hAnsi="Aptos"/>
                <w:b w:val="0"/>
                <w:color w:val="202B33"/>
                <w:sz w:val="16"/>
              </w:rPr>
              <w:t>6 Kasım 2026</w:t>
            </w:r>
          </w:p>
        </w:tc>
        <w:tc>
          <w:tcPr>
            <w:tcW w:type="dxa" w:w="3288"/>
            <w:vAlign w:val="center"/>
            <w:tcMar>
              <w:top w:w="100" w:type="dxa"/>
              <w:start w:w="120" w:type="dxa"/>
              <w:bottom w:w="100" w:type="dxa"/>
              <w:end w:w="120" w:type="dxa"/>
            </w:tcMar>
            <w:shd w:fill="F3F5F7"/>
          </w:tcPr>
          <w:p>
            <w:pPr>
              <w:spacing w:after="0"/>
            </w:pPr>
            <w:r/>
            <w:r>
              <w:rPr>
                <w:rFonts w:ascii="Aptos" w:hAnsi="Aptos"/>
                <w:b w:val="0"/>
                <w:color w:val="202B33"/>
                <w:sz w:val="16"/>
              </w:rPr>
              <w:t>İlk kullanılabilir UAT sürümü</w:t>
            </w:r>
          </w:p>
        </w:tc>
        <w:tc>
          <w:tcPr>
            <w:tcW w:type="dxa" w:w="3969"/>
            <w:vAlign w:val="center"/>
            <w:tcMar>
              <w:top w:w="100" w:type="dxa"/>
              <w:start w:w="120" w:type="dxa"/>
              <w:bottom w:w="100" w:type="dxa"/>
              <w:end w:w="120" w:type="dxa"/>
            </w:tcMar>
            <w:shd w:fill="F3F5F7"/>
          </w:tcPr>
          <w:p>
            <w:pPr>
              <w:spacing w:after="0"/>
            </w:pPr>
            <w:r/>
            <w:r>
              <w:rPr>
                <w:rFonts w:ascii="Aptos" w:hAnsi="Aptos"/>
                <w:b w:val="0"/>
                <w:color w:val="202B33"/>
                <w:sz w:val="16"/>
              </w:rPr>
              <w:t>Vizyon sunucusu veya kabul ortamında kullanıcı testi</w:t>
            </w:r>
          </w:p>
        </w:tc>
      </w:tr>
      <w:tr>
        <w:trPr>
          <w:cantSplit/>
        </w:trPr>
        <w:tc>
          <w:tcPr>
            <w:tcW w:type="dxa" w:w="1984"/>
            <w:vAlign w:val="center"/>
            <w:tcMar>
              <w:top w:w="100" w:type="dxa"/>
              <w:start w:w="120" w:type="dxa"/>
              <w:bottom w:w="100" w:type="dxa"/>
              <w:end w:w="120" w:type="dxa"/>
            </w:tcMar>
          </w:tcPr>
          <w:p>
            <w:pPr>
              <w:spacing w:after="0"/>
            </w:pPr>
            <w:r/>
            <w:r>
              <w:rPr>
                <w:rFonts w:ascii="Aptos" w:hAnsi="Aptos"/>
                <w:b w:val="0"/>
                <w:color w:val="202B33"/>
                <w:sz w:val="16"/>
              </w:rPr>
              <w:t>9–13 Kasım 2026</w:t>
            </w:r>
          </w:p>
        </w:tc>
        <w:tc>
          <w:tcPr>
            <w:tcW w:type="dxa" w:w="3288"/>
            <w:vAlign w:val="center"/>
            <w:tcMar>
              <w:top w:w="100" w:type="dxa"/>
              <w:start w:w="120" w:type="dxa"/>
              <w:bottom w:w="100" w:type="dxa"/>
              <w:end w:w="120" w:type="dxa"/>
            </w:tcMar>
          </w:tcPr>
          <w:p>
            <w:pPr>
              <w:spacing w:after="0"/>
            </w:pPr>
            <w:r/>
            <w:r>
              <w:rPr>
                <w:rFonts w:ascii="Aptos" w:hAnsi="Aptos"/>
                <w:b w:val="0"/>
                <w:color w:val="202B33"/>
                <w:sz w:val="16"/>
              </w:rPr>
              <w:t>UAT düzeltmeleri ve son mutabakat</w:t>
            </w:r>
          </w:p>
        </w:tc>
        <w:tc>
          <w:tcPr>
            <w:tcW w:type="dxa" w:w="3969"/>
            <w:vAlign w:val="center"/>
            <w:tcMar>
              <w:top w:w="100" w:type="dxa"/>
              <w:start w:w="120" w:type="dxa"/>
              <w:bottom w:w="100" w:type="dxa"/>
              <w:end w:w="120" w:type="dxa"/>
            </w:tcMar>
          </w:tcPr>
          <w:p>
            <w:pPr>
              <w:spacing w:after="0"/>
            </w:pPr>
            <w:r/>
            <w:r>
              <w:rPr>
                <w:rFonts w:ascii="Aptos" w:hAnsi="Aptos"/>
                <w:b w:val="0"/>
                <w:color w:val="202B33"/>
                <w:sz w:val="16"/>
              </w:rPr>
              <w:t>Kritik kullanıcı senaryolarının kapanması</w:t>
            </w:r>
          </w:p>
        </w:tc>
      </w:tr>
      <w:tr>
        <w:trPr>
          <w:cantSplit/>
        </w:trPr>
        <w:tc>
          <w:tcPr>
            <w:tcW w:type="dxa" w:w="1984"/>
            <w:vAlign w:val="center"/>
            <w:tcMar>
              <w:top w:w="100" w:type="dxa"/>
              <w:start w:w="120" w:type="dxa"/>
              <w:bottom w:w="100" w:type="dxa"/>
              <w:end w:w="120" w:type="dxa"/>
            </w:tcMar>
            <w:shd w:fill="F3F5F7"/>
          </w:tcPr>
          <w:p>
            <w:pPr>
              <w:spacing w:after="0"/>
            </w:pPr>
            <w:r/>
            <w:r>
              <w:rPr>
                <w:rFonts w:ascii="Aptos" w:hAnsi="Aptos"/>
                <w:b w:val="0"/>
                <w:color w:val="202B33"/>
                <w:sz w:val="16"/>
              </w:rPr>
              <w:t>16 Kasım 2026</w:t>
            </w:r>
          </w:p>
        </w:tc>
        <w:tc>
          <w:tcPr>
            <w:tcW w:type="dxa" w:w="3288"/>
            <w:vAlign w:val="center"/>
            <w:tcMar>
              <w:top w:w="100" w:type="dxa"/>
              <w:start w:w="120" w:type="dxa"/>
              <w:bottom w:w="100" w:type="dxa"/>
              <w:end w:w="120" w:type="dxa"/>
            </w:tcMar>
            <w:shd w:fill="F3F5F7"/>
          </w:tcPr>
          <w:p>
            <w:pPr>
              <w:spacing w:after="0"/>
            </w:pPr>
            <w:r/>
            <w:r>
              <w:rPr>
                <w:rFonts w:ascii="Aptos" w:hAnsi="Aptos"/>
                <w:b w:val="0"/>
                <w:color w:val="202B33"/>
                <w:sz w:val="16"/>
              </w:rPr>
              <w:t>Hedef canlı kullanım</w:t>
            </w:r>
          </w:p>
        </w:tc>
        <w:tc>
          <w:tcPr>
            <w:tcW w:type="dxa" w:w="3969"/>
            <w:vAlign w:val="center"/>
            <w:tcMar>
              <w:top w:w="100" w:type="dxa"/>
              <w:start w:w="120" w:type="dxa"/>
              <w:bottom w:w="100" w:type="dxa"/>
              <w:end w:w="120" w:type="dxa"/>
            </w:tcMar>
            <w:shd w:fill="F3F5F7"/>
          </w:tcPr>
          <w:p>
            <w:pPr>
              <w:spacing w:after="0"/>
            </w:pPr>
            <w:r/>
            <w:r>
              <w:rPr>
                <w:rFonts w:ascii="Aptos" w:hAnsi="Aptos"/>
                <w:b w:val="0"/>
                <w:color w:val="202B33"/>
                <w:sz w:val="16"/>
              </w:rPr>
              <w:t>Kurulum, eğitim ve operasyonel kullanım başlangıcı</w:t>
            </w:r>
          </w:p>
        </w:tc>
      </w:tr>
    </w:tbl>
    <w:p>
      <w:pPr>
        <w:spacing w:after="0"/>
      </w:pPr>
    </w:p>
    <w:p>
      <w:r>
        <w:t>İlk kullanılabilir sürüm 6 Kasım'da gerçek veriyle plan üretir; 16 Kasım hedefi kullanıcı kabulünde kritik hata bulunmaması ve aşağıdaki bağımlılıkların zamanında karşılanması koşuluna bağlıdır.</w:t>
      </w:r>
    </w:p>
    <w:p>
      <w:pPr>
        <w:pStyle w:val="Heading1"/>
      </w:pPr>
      <w:r>
        <w:t>9. Takvimi etkileyen bağımlılıklar</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1871"/>
            <w:vAlign w:val="center"/>
            <w:tcMar>
              <w:top w:w="100" w:type="dxa"/>
              <w:start w:w="120" w:type="dxa"/>
              <w:bottom w:w="100" w:type="dxa"/>
              <w:end w:w="120" w:type="dxa"/>
            </w:tcMar>
            <w:shd w:fill="17324D"/>
          </w:tcPr>
          <w:p>
            <w:pPr>
              <w:spacing w:after="0"/>
            </w:pPr>
            <w:r/>
            <w:r>
              <w:rPr>
                <w:rFonts w:ascii="Aptos" w:hAnsi="Aptos"/>
                <w:b/>
                <w:color w:val="FFFFFF"/>
                <w:sz w:val="16"/>
              </w:rPr>
              <w:t>İhtiyaç</w:t>
            </w:r>
          </w:p>
        </w:tc>
        <w:tc>
          <w:tcPr>
            <w:tcW w:type="dxa" w:w="4535"/>
            <w:vAlign w:val="center"/>
            <w:tcMar>
              <w:top w:w="100" w:type="dxa"/>
              <w:start w:w="120" w:type="dxa"/>
              <w:bottom w:w="100" w:type="dxa"/>
              <w:end w:w="120" w:type="dxa"/>
            </w:tcMar>
            <w:shd w:fill="17324D"/>
          </w:tcPr>
          <w:p>
            <w:pPr>
              <w:spacing w:after="0"/>
            </w:pPr>
            <w:r/>
            <w:r>
              <w:rPr>
                <w:rFonts w:ascii="Aptos" w:hAnsi="Aptos"/>
                <w:b/>
                <w:color w:val="FFFFFF"/>
                <w:sz w:val="16"/>
              </w:rPr>
              <w:t>Vizyon Deri sorumluluğu</w:t>
            </w:r>
          </w:p>
        </w:tc>
        <w:tc>
          <w:tcPr>
            <w:tcW w:type="dxa" w:w="2835"/>
            <w:vAlign w:val="center"/>
            <w:tcMar>
              <w:top w:w="100" w:type="dxa"/>
              <w:start w:w="120" w:type="dxa"/>
              <w:bottom w:w="100" w:type="dxa"/>
              <w:end w:w="120" w:type="dxa"/>
            </w:tcMar>
            <w:shd w:fill="17324D"/>
          </w:tcPr>
          <w:p>
            <w:pPr>
              <w:spacing w:after="0"/>
            </w:pPr>
            <w:r/>
            <w:r>
              <w:rPr>
                <w:rFonts w:ascii="Aptos" w:hAnsi="Aptos"/>
                <w:b/>
                <w:color w:val="FFFFFF"/>
                <w:sz w:val="16"/>
              </w:rPr>
              <w:t>Gecikme etkisi</w:t>
            </w:r>
          </w:p>
        </w:tc>
      </w:tr>
      <w:tr>
        <w:trPr>
          <w:cantSplit/>
        </w:trPr>
        <w:tc>
          <w:tcPr>
            <w:tcW w:type="dxa" w:w="1871"/>
            <w:vAlign w:val="center"/>
            <w:tcMar>
              <w:top w:w="100" w:type="dxa"/>
              <w:start w:w="120" w:type="dxa"/>
              <w:bottom w:w="100" w:type="dxa"/>
              <w:end w:w="120" w:type="dxa"/>
            </w:tcMar>
          </w:tcPr>
          <w:p>
            <w:pPr>
              <w:spacing w:after="0"/>
            </w:pPr>
            <w:r/>
            <w:r>
              <w:rPr>
                <w:rFonts w:ascii="Aptos" w:hAnsi="Aptos"/>
                <w:b w:val="0"/>
                <w:color w:val="202B33"/>
                <w:sz w:val="15"/>
              </w:rPr>
              <w:t>NetSuite erişimi</w:t>
            </w:r>
          </w:p>
        </w:tc>
        <w:tc>
          <w:tcPr>
            <w:tcW w:type="dxa" w:w="4535"/>
            <w:vAlign w:val="center"/>
            <w:tcMar>
              <w:top w:w="100" w:type="dxa"/>
              <w:start w:w="120" w:type="dxa"/>
              <w:bottom w:w="100" w:type="dxa"/>
              <w:end w:w="120" w:type="dxa"/>
            </w:tcMar>
          </w:tcPr>
          <w:p>
            <w:pPr>
              <w:spacing w:after="0"/>
            </w:pPr>
            <w:r/>
            <w:r>
              <w:rPr>
                <w:rFonts w:ascii="Aptos" w:hAnsi="Aptos"/>
                <w:b w:val="0"/>
                <w:color w:val="202B33"/>
                <w:sz w:val="15"/>
              </w:rPr>
              <w:t>Sandbox/production salt-okunur integration role; SuiteQL veya Connect erişimi</w:t>
            </w:r>
          </w:p>
        </w:tc>
        <w:tc>
          <w:tcPr>
            <w:tcW w:type="dxa" w:w="2835"/>
            <w:vAlign w:val="center"/>
            <w:tcMar>
              <w:top w:w="100" w:type="dxa"/>
              <w:start w:w="120" w:type="dxa"/>
              <w:bottom w:w="100" w:type="dxa"/>
              <w:end w:w="120" w:type="dxa"/>
            </w:tcMar>
          </w:tcPr>
          <w:p>
            <w:pPr>
              <w:spacing w:after="0"/>
            </w:pPr>
            <w:r/>
            <w:r>
              <w:rPr>
                <w:rFonts w:ascii="Aptos" w:hAnsi="Aptos"/>
                <w:b w:val="0"/>
                <w:color w:val="202B33"/>
                <w:sz w:val="15"/>
              </w:rPr>
              <w:t>Entegrasyon başlangıcı gecikir</w:t>
            </w:r>
          </w:p>
        </w:tc>
      </w:tr>
      <w:tr>
        <w:trPr>
          <w:cantSplit/>
        </w:trPr>
        <w:tc>
          <w:tcPr>
            <w:tcW w:type="dxa" w:w="1871"/>
            <w:vAlign w:val="center"/>
            <w:tcMar>
              <w:top w:w="100" w:type="dxa"/>
              <w:start w:w="120" w:type="dxa"/>
              <w:bottom w:w="100" w:type="dxa"/>
              <w:end w:w="120" w:type="dxa"/>
            </w:tcMar>
            <w:shd w:fill="F3F5F7"/>
          </w:tcPr>
          <w:p>
            <w:pPr>
              <w:spacing w:after="0"/>
            </w:pPr>
            <w:r/>
            <w:r>
              <w:rPr>
                <w:rFonts w:ascii="Aptos" w:hAnsi="Aptos"/>
                <w:b w:val="0"/>
                <w:color w:val="202B33"/>
                <w:sz w:val="15"/>
              </w:rPr>
              <w:t>Alan haritası</w:t>
            </w:r>
          </w:p>
        </w:tc>
        <w:tc>
          <w:tcPr>
            <w:tcW w:type="dxa" w:w="4535"/>
            <w:vAlign w:val="center"/>
            <w:tcMar>
              <w:top w:w="100" w:type="dxa"/>
              <w:start w:w="120" w:type="dxa"/>
              <w:bottom w:w="100" w:type="dxa"/>
              <w:end w:w="120" w:type="dxa"/>
            </w:tcMar>
            <w:shd w:fill="F3F5F7"/>
          </w:tcPr>
          <w:p>
            <w:pPr>
              <w:spacing w:after="0"/>
            </w:pPr>
            <w:r/>
            <w:r>
              <w:rPr>
                <w:rFonts w:ascii="Aptos" w:hAnsi="Aptos"/>
                <w:b w:val="0"/>
                <w:color w:val="202B33"/>
                <w:sz w:val="15"/>
              </w:rPr>
              <w:t>Tür, Statü, Marka, beden, Order Type, fulfillment location ve satılabilir stok alanlarının script ID'leri</w:t>
            </w:r>
          </w:p>
        </w:tc>
        <w:tc>
          <w:tcPr>
            <w:tcW w:type="dxa" w:w="2835"/>
            <w:vAlign w:val="center"/>
            <w:tcMar>
              <w:top w:w="100" w:type="dxa"/>
              <w:start w:w="120" w:type="dxa"/>
              <w:bottom w:w="100" w:type="dxa"/>
              <w:end w:w="120" w:type="dxa"/>
            </w:tcMar>
            <w:shd w:fill="F3F5F7"/>
          </w:tcPr>
          <w:p>
            <w:pPr>
              <w:spacing w:after="0"/>
            </w:pPr>
            <w:r/>
            <w:r>
              <w:rPr>
                <w:rFonts w:ascii="Aptos" w:hAnsi="Aptos"/>
                <w:b w:val="0"/>
                <w:color w:val="202B33"/>
                <w:sz w:val="15"/>
              </w:rPr>
              <w:t>Veri eşleme ve hesap doğrulaması durur</w:t>
            </w:r>
          </w:p>
        </w:tc>
      </w:tr>
      <w:tr>
        <w:trPr>
          <w:cantSplit/>
        </w:trPr>
        <w:tc>
          <w:tcPr>
            <w:tcW w:type="dxa" w:w="1871"/>
            <w:vAlign w:val="center"/>
            <w:tcMar>
              <w:top w:w="100" w:type="dxa"/>
              <w:start w:w="120" w:type="dxa"/>
              <w:bottom w:w="100" w:type="dxa"/>
              <w:end w:w="120" w:type="dxa"/>
            </w:tcMar>
          </w:tcPr>
          <w:p>
            <w:pPr>
              <w:spacing w:after="0"/>
            </w:pPr>
            <w:r/>
            <w:r>
              <w:rPr>
                <w:rFonts w:ascii="Aptos" w:hAnsi="Aptos"/>
                <w:b w:val="0"/>
                <w:color w:val="202B33"/>
                <w:sz w:val="15"/>
              </w:rPr>
              <w:t>Depo kodları</w:t>
            </w:r>
          </w:p>
        </w:tc>
        <w:tc>
          <w:tcPr>
            <w:tcW w:type="dxa" w:w="4535"/>
            <w:vAlign w:val="center"/>
            <w:tcMar>
              <w:top w:w="100" w:type="dxa"/>
              <w:start w:w="120" w:type="dxa"/>
              <w:bottom w:w="100" w:type="dxa"/>
              <w:end w:w="120" w:type="dxa"/>
            </w:tcMar>
          </w:tcPr>
          <w:p>
            <w:pPr>
              <w:spacing w:after="0"/>
            </w:pPr>
            <w:r/>
            <w:r>
              <w:rPr>
                <w:rFonts w:ascii="Aptos" w:hAnsi="Aptos"/>
                <w:b w:val="0"/>
                <w:color w:val="202B33"/>
                <w:sz w:val="15"/>
              </w:rPr>
              <w:t>Zalando Offerable, Ekol ve Paris Shop location ID'leri</w:t>
            </w:r>
          </w:p>
        </w:tc>
        <w:tc>
          <w:tcPr>
            <w:tcW w:type="dxa" w:w="2835"/>
            <w:vAlign w:val="center"/>
            <w:tcMar>
              <w:top w:w="100" w:type="dxa"/>
              <w:start w:w="120" w:type="dxa"/>
              <w:bottom w:w="100" w:type="dxa"/>
              <w:end w:w="120" w:type="dxa"/>
            </w:tcMar>
          </w:tcPr>
          <w:p>
            <w:pPr>
              <w:spacing w:after="0"/>
            </w:pPr>
            <w:r/>
            <w:r>
              <w:rPr>
                <w:rFonts w:ascii="Aptos" w:hAnsi="Aptos"/>
                <w:b w:val="0"/>
                <w:color w:val="202B33"/>
                <w:sz w:val="15"/>
              </w:rPr>
              <w:t>Alokasyon üretilemez</w:t>
            </w:r>
          </w:p>
        </w:tc>
      </w:tr>
      <w:tr>
        <w:trPr>
          <w:cantSplit/>
        </w:trPr>
        <w:tc>
          <w:tcPr>
            <w:tcW w:type="dxa" w:w="1871"/>
            <w:vAlign w:val="center"/>
            <w:tcMar>
              <w:top w:w="100" w:type="dxa"/>
              <w:start w:w="120" w:type="dxa"/>
              <w:bottom w:w="100" w:type="dxa"/>
              <w:end w:w="120" w:type="dxa"/>
            </w:tcMar>
            <w:shd w:fill="F3F5F7"/>
          </w:tcPr>
          <w:p>
            <w:pPr>
              <w:spacing w:after="0"/>
            </w:pPr>
            <w:r/>
            <w:r>
              <w:rPr>
                <w:rFonts w:ascii="Aptos" w:hAnsi="Aptos"/>
                <w:b w:val="0"/>
                <w:color w:val="202B33"/>
                <w:sz w:val="15"/>
              </w:rPr>
              <w:t>İade eşlemesi</w:t>
            </w:r>
          </w:p>
        </w:tc>
        <w:tc>
          <w:tcPr>
            <w:tcW w:type="dxa" w:w="4535"/>
            <w:vAlign w:val="center"/>
            <w:tcMar>
              <w:top w:w="100" w:type="dxa"/>
              <w:start w:w="120" w:type="dxa"/>
              <w:bottom w:w="100" w:type="dxa"/>
              <w:end w:w="120" w:type="dxa"/>
            </w:tcMar>
            <w:shd w:fill="F3F5F7"/>
          </w:tcPr>
          <w:p>
            <w:pPr>
              <w:spacing w:after="0"/>
            </w:pPr>
            <w:r/>
            <w:r>
              <w:rPr>
                <w:rFonts w:ascii="Aptos" w:hAnsi="Aptos"/>
                <w:b w:val="0"/>
                <w:color w:val="202B33"/>
                <w:sz w:val="15"/>
              </w:rPr>
              <w:t>İadenin kaynak satış/order type/location ilişkisini gösteren örnekler</w:t>
            </w:r>
          </w:p>
        </w:tc>
        <w:tc>
          <w:tcPr>
            <w:tcW w:type="dxa" w:w="2835"/>
            <w:vAlign w:val="center"/>
            <w:tcMar>
              <w:top w:w="100" w:type="dxa"/>
              <w:start w:w="120" w:type="dxa"/>
              <w:bottom w:w="100" w:type="dxa"/>
              <w:end w:w="120" w:type="dxa"/>
            </w:tcMar>
            <w:shd w:fill="F3F5F7"/>
          </w:tcPr>
          <w:p>
            <w:pPr>
              <w:spacing w:after="0"/>
            </w:pPr>
            <w:r/>
            <w:r>
              <w:rPr>
                <w:rFonts w:ascii="Aptos" w:hAnsi="Aptos"/>
                <w:b w:val="0"/>
                <w:color w:val="202B33"/>
                <w:sz w:val="15"/>
              </w:rPr>
              <w:t>Depo net talep payı hatalı olabilir</w:t>
            </w:r>
          </w:p>
        </w:tc>
      </w:tr>
      <w:tr>
        <w:trPr>
          <w:cantSplit/>
        </w:trPr>
        <w:tc>
          <w:tcPr>
            <w:tcW w:type="dxa" w:w="1871"/>
            <w:vAlign w:val="center"/>
            <w:tcMar>
              <w:top w:w="100" w:type="dxa"/>
              <w:start w:w="120" w:type="dxa"/>
              <w:bottom w:w="100" w:type="dxa"/>
              <w:end w:w="120" w:type="dxa"/>
            </w:tcMar>
          </w:tcPr>
          <w:p>
            <w:pPr>
              <w:spacing w:after="0"/>
            </w:pPr>
            <w:r/>
            <w:r>
              <w:rPr>
                <w:rFonts w:ascii="Aptos" w:hAnsi="Aptos"/>
                <w:b w:val="0"/>
                <w:color w:val="202B33"/>
                <w:sz w:val="15"/>
              </w:rPr>
              <w:t>Kontrol raporları</w:t>
            </w:r>
          </w:p>
        </w:tc>
        <w:tc>
          <w:tcPr>
            <w:tcW w:type="dxa" w:w="4535"/>
            <w:vAlign w:val="center"/>
            <w:tcMar>
              <w:top w:w="100" w:type="dxa"/>
              <w:start w:w="120" w:type="dxa"/>
              <w:bottom w:w="100" w:type="dxa"/>
              <w:end w:w="120" w:type="dxa"/>
            </w:tcMar>
          </w:tcPr>
          <w:p>
            <w:pPr>
              <w:spacing w:after="0"/>
            </w:pPr>
            <w:r/>
            <w:r>
              <w:rPr>
                <w:rFonts w:ascii="Aptos" w:hAnsi="Aptos"/>
                <w:b w:val="0"/>
                <w:color w:val="202B33"/>
                <w:sz w:val="15"/>
              </w:rPr>
              <w:t>Seçili dönem için ürün/beden satış, iade ve stok Saved Search çıktısı</w:t>
            </w:r>
          </w:p>
        </w:tc>
        <w:tc>
          <w:tcPr>
            <w:tcW w:type="dxa" w:w="2835"/>
            <w:vAlign w:val="center"/>
            <w:tcMar>
              <w:top w:w="100" w:type="dxa"/>
              <w:start w:w="120" w:type="dxa"/>
              <w:bottom w:w="100" w:type="dxa"/>
              <w:end w:w="120" w:type="dxa"/>
            </w:tcMar>
          </w:tcPr>
          <w:p>
            <w:pPr>
              <w:spacing w:after="0"/>
            </w:pPr>
            <w:r/>
            <w:r>
              <w:rPr>
                <w:rFonts w:ascii="Aptos" w:hAnsi="Aptos"/>
                <w:b w:val="0"/>
                <w:color w:val="202B33"/>
                <w:sz w:val="15"/>
              </w:rPr>
              <w:t>Mutabakat ve UAT uzar</w:t>
            </w:r>
          </w:p>
        </w:tc>
      </w:tr>
      <w:tr>
        <w:trPr>
          <w:cantSplit/>
        </w:trPr>
        <w:tc>
          <w:tcPr>
            <w:tcW w:type="dxa" w:w="1871"/>
            <w:vAlign w:val="center"/>
            <w:tcMar>
              <w:top w:w="100" w:type="dxa"/>
              <w:start w:w="120" w:type="dxa"/>
              <w:bottom w:w="100" w:type="dxa"/>
              <w:end w:w="120" w:type="dxa"/>
            </w:tcMar>
            <w:shd w:fill="F3F5F7"/>
          </w:tcPr>
          <w:p>
            <w:pPr>
              <w:spacing w:after="0"/>
            </w:pPr>
            <w:r/>
            <w:r>
              <w:rPr>
                <w:rFonts w:ascii="Aptos" w:hAnsi="Aptos"/>
                <w:b w:val="0"/>
                <w:color w:val="202B33"/>
                <w:sz w:val="15"/>
              </w:rPr>
              <w:t>Sunucu</w:t>
            </w:r>
          </w:p>
        </w:tc>
        <w:tc>
          <w:tcPr>
            <w:tcW w:type="dxa" w:w="4535"/>
            <w:vAlign w:val="center"/>
            <w:tcMar>
              <w:top w:w="100" w:type="dxa"/>
              <w:start w:w="120" w:type="dxa"/>
              <w:bottom w:w="100" w:type="dxa"/>
              <w:end w:w="120" w:type="dxa"/>
            </w:tcMar>
            <w:shd w:fill="F3F5F7"/>
          </w:tcPr>
          <w:p>
            <w:pPr>
              <w:spacing w:after="0"/>
            </w:pPr>
            <w:r/>
            <w:r>
              <w:rPr>
                <w:rFonts w:ascii="Aptos" w:hAnsi="Aptos"/>
                <w:b w:val="0"/>
                <w:color w:val="202B33"/>
                <w:sz w:val="15"/>
              </w:rPr>
              <w:t>Docker çalıştırabilen sunucu, ağ erişimi, disk, yedek, TLS/VPN koşulları</w:t>
            </w:r>
          </w:p>
        </w:tc>
        <w:tc>
          <w:tcPr>
            <w:tcW w:type="dxa" w:w="2835"/>
            <w:vAlign w:val="center"/>
            <w:tcMar>
              <w:top w:w="100" w:type="dxa"/>
              <w:start w:w="120" w:type="dxa"/>
              <w:bottom w:w="100" w:type="dxa"/>
              <w:end w:w="120" w:type="dxa"/>
            </w:tcMar>
            <w:shd w:fill="F3F5F7"/>
          </w:tcPr>
          <w:p>
            <w:pPr>
              <w:spacing w:after="0"/>
            </w:pPr>
            <w:r/>
            <w:r>
              <w:rPr>
                <w:rFonts w:ascii="Aptos" w:hAnsi="Aptos"/>
                <w:b w:val="0"/>
                <w:color w:val="202B33"/>
                <w:sz w:val="15"/>
              </w:rPr>
              <w:t>Kurulum tarihi gecikir</w:t>
            </w:r>
          </w:p>
        </w:tc>
      </w:tr>
      <w:tr>
        <w:trPr>
          <w:cantSplit/>
        </w:trPr>
        <w:tc>
          <w:tcPr>
            <w:tcW w:type="dxa" w:w="1871"/>
            <w:vAlign w:val="center"/>
            <w:tcMar>
              <w:top w:w="100" w:type="dxa"/>
              <w:start w:w="120" w:type="dxa"/>
              <w:bottom w:w="100" w:type="dxa"/>
              <w:end w:w="120" w:type="dxa"/>
            </w:tcMar>
          </w:tcPr>
          <w:p>
            <w:pPr>
              <w:spacing w:after="0"/>
            </w:pPr>
            <w:r/>
            <w:r>
              <w:rPr>
                <w:rFonts w:ascii="Aptos" w:hAnsi="Aptos"/>
                <w:b w:val="0"/>
                <w:color w:val="202B33"/>
                <w:sz w:val="15"/>
              </w:rPr>
              <w:t>İş birimi onayı</w:t>
            </w:r>
          </w:p>
        </w:tc>
        <w:tc>
          <w:tcPr>
            <w:tcW w:type="dxa" w:w="4535"/>
            <w:vAlign w:val="center"/>
            <w:tcMar>
              <w:top w:w="100" w:type="dxa"/>
              <w:start w:w="120" w:type="dxa"/>
              <w:bottom w:w="100" w:type="dxa"/>
              <w:end w:w="120" w:type="dxa"/>
            </w:tcMar>
          </w:tcPr>
          <w:p>
            <w:pPr>
              <w:spacing w:after="0"/>
            </w:pPr>
            <w:r/>
            <w:r>
              <w:rPr>
                <w:rFonts w:ascii="Aptos" w:hAnsi="Aptos"/>
                <w:b w:val="0"/>
                <w:color w:val="202B33"/>
                <w:sz w:val="15"/>
              </w:rPr>
              <w:t>Üretim öncelik sırası, yuvarlama ve fallback depo payı kuralları</w:t>
            </w:r>
          </w:p>
        </w:tc>
        <w:tc>
          <w:tcPr>
            <w:tcW w:type="dxa" w:w="2835"/>
            <w:vAlign w:val="center"/>
            <w:tcMar>
              <w:top w:w="100" w:type="dxa"/>
              <w:start w:w="120" w:type="dxa"/>
              <w:bottom w:w="100" w:type="dxa"/>
              <w:end w:w="120" w:type="dxa"/>
            </w:tcMar>
          </w:tcPr>
          <w:p>
            <w:pPr>
              <w:spacing w:after="0"/>
            </w:pPr>
            <w:r/>
            <w:r>
              <w:rPr>
                <w:rFonts w:ascii="Aptos" w:hAnsi="Aptos"/>
                <w:b w:val="0"/>
                <w:color w:val="202B33"/>
                <w:sz w:val="15"/>
              </w:rPr>
              <w:t>Hesap motoru kesinleşmez</w:t>
            </w:r>
          </w:p>
        </w:tc>
      </w:tr>
      <w:tr>
        <w:trPr>
          <w:cantSplit/>
        </w:trPr>
        <w:tc>
          <w:tcPr>
            <w:tcW w:type="dxa" w:w="1871"/>
            <w:vAlign w:val="center"/>
            <w:tcMar>
              <w:top w:w="100" w:type="dxa"/>
              <w:start w:w="120" w:type="dxa"/>
              <w:bottom w:w="100" w:type="dxa"/>
              <w:end w:w="120" w:type="dxa"/>
            </w:tcMar>
            <w:shd w:fill="F3F5F7"/>
          </w:tcPr>
          <w:p>
            <w:pPr>
              <w:spacing w:after="0"/>
            </w:pPr>
            <w:r/>
            <w:r>
              <w:rPr>
                <w:rFonts w:ascii="Aptos" w:hAnsi="Aptos"/>
                <w:b w:val="0"/>
                <w:color w:val="202B33"/>
                <w:sz w:val="15"/>
              </w:rPr>
              <w:t>UAT ekibi</w:t>
            </w:r>
          </w:p>
        </w:tc>
        <w:tc>
          <w:tcPr>
            <w:tcW w:type="dxa" w:w="4535"/>
            <w:vAlign w:val="center"/>
            <w:tcMar>
              <w:top w:w="100" w:type="dxa"/>
              <w:start w:w="120" w:type="dxa"/>
              <w:bottom w:w="100" w:type="dxa"/>
              <w:end w:w="120" w:type="dxa"/>
            </w:tcMar>
            <w:shd w:fill="F3F5F7"/>
          </w:tcPr>
          <w:p>
            <w:pPr>
              <w:spacing w:after="0"/>
            </w:pPr>
            <w:r/>
            <w:r>
              <w:rPr>
                <w:rFonts w:ascii="Aptos" w:hAnsi="Aptos"/>
                <w:b w:val="0"/>
                <w:color w:val="202B33"/>
                <w:sz w:val="15"/>
              </w:rPr>
              <w:t>Karar verebilen planner ve NetSuite key user'ın günlük geri dönüşü</w:t>
            </w:r>
          </w:p>
        </w:tc>
        <w:tc>
          <w:tcPr>
            <w:tcW w:type="dxa" w:w="2835"/>
            <w:vAlign w:val="center"/>
            <w:tcMar>
              <w:top w:w="100" w:type="dxa"/>
              <w:start w:w="120" w:type="dxa"/>
              <w:bottom w:w="100" w:type="dxa"/>
              <w:end w:w="120" w:type="dxa"/>
            </w:tcMar>
            <w:shd w:fill="F3F5F7"/>
          </w:tcPr>
          <w:p>
            <w:pPr>
              <w:spacing w:after="0"/>
            </w:pPr>
            <w:r/>
            <w:r>
              <w:rPr>
                <w:rFonts w:ascii="Aptos" w:hAnsi="Aptos"/>
                <w:b w:val="0"/>
                <w:color w:val="202B33"/>
                <w:sz w:val="15"/>
              </w:rPr>
              <w:t>Canlı tarih ötelenir</w:t>
            </w:r>
          </w:p>
        </w:tc>
      </w:tr>
    </w:tbl>
    <w:p>
      <w:pPr>
        <w:spacing w:after="0"/>
      </w:pPr>
    </w:p>
    <w:p>
      <w:pPr>
        <w:pStyle w:val="Heading1"/>
      </w:pPr>
      <w:r>
        <w:t>10. Vizyon Deri'den başlangıçta istenecek bilgiler</w:t>
      </w:r>
    </w:p>
    <w:p>
      <w:pPr>
        <w:pStyle w:val="ListBullet"/>
      </w:pPr>
      <w:r>
        <w:t>NetSuite hesap tipi ve kullanılabilen bağlantı yöntemi: SuiteAnalytics Connect veya REST SuiteQL</w:t>
      </w:r>
    </w:p>
    <w:p>
      <w:pPr>
        <w:pStyle w:val="ListBullet"/>
      </w:pPr>
      <w:r>
        <w:t>Eylül 2025 sonrası yeni ürün yapısında kullanılan item, model, renk ve beden alanları</w:t>
      </w:r>
    </w:p>
    <w:p>
      <w:pPr>
        <w:pStyle w:val="ListBullet"/>
      </w:pPr>
      <w:r>
        <w:t>Tür, Statü ve Marka custom field/script ID'leri ve örnek değerleri</w:t>
      </w:r>
    </w:p>
    <w:p>
      <w:pPr>
        <w:pStyle w:val="ListBullet"/>
      </w:pPr>
      <w:r>
        <w:t>Zalando Order Type alanı ve “Zalando Fulfilled / Partner Fulfilled” gerçek kaynak değerleri</w:t>
      </w:r>
    </w:p>
    <w:p>
      <w:pPr>
        <w:pStyle w:val="ListBullet"/>
      </w:pPr>
      <w:r>
        <w:t>Ekol ve Paris ayrımını veren fulfillment location alanı ve location ID'leri</w:t>
      </w:r>
    </w:p>
    <w:p>
      <w:pPr>
        <w:pStyle w:val="ListBullet"/>
      </w:pPr>
      <w:r>
        <w:t>Satılabilir stok için kullanılacak quantity/status alanı ve rezerve/bloke miktar davranışı</w:t>
      </w:r>
    </w:p>
    <w:p>
      <w:pPr>
        <w:pStyle w:val="ListBullet"/>
      </w:pPr>
      <w:r>
        <w:t>İadelerin kaynak satışa, Order Type'a ve lokasyona bağlanma yöntemi</w:t>
      </w:r>
    </w:p>
    <w:p>
      <w:pPr>
        <w:pStyle w:val="ListBullet"/>
      </w:pPr>
      <w:r>
        <w:t>1 Kasım 2025–28 Şubat 2026 için doğrulanmış 10–20 ürün/beden örnek veri seti</w:t>
      </w:r>
    </w:p>
    <w:p>
      <w:pPr>
        <w:pStyle w:val="ListBullet"/>
      </w:pPr>
      <w:r>
        <w:t>Büyüme sonucu ve depo dağılımı için adet yuvarlama kuralı</w:t>
      </w:r>
    </w:p>
    <w:p>
      <w:pPr>
        <w:pStyle w:val="ListBullet"/>
      </w:pPr>
      <w:r>
        <w:t>Üretim önceliği sıralamasının iş birimi onayı</w:t>
      </w:r>
    </w:p>
    <w:p>
      <w:pPr>
        <w:pStyle w:val="ListBullet"/>
      </w:pPr>
      <w:r>
        <w:t>Kurulum yapılacak sunucunun işletim sistemi, erişim yöntemi ve sorumlu IT kişisi</w:t>
      </w:r>
    </w:p>
    <w:p>
      <w:pPr>
        <w:pStyle w:val="Heading1"/>
      </w:pPr>
      <w:r>
        <w:t>11. Kabul kriterleri</w:t>
      </w:r>
    </w:p>
    <w:p>
      <w:pPr>
        <w:pStyle w:val="ListNumber"/>
      </w:pPr>
      <w:r>
        <w:t>Seçilen Tür, Statü ve Marka filtreleri NetSuite item listesini doğru sınırlar.</w:t>
      </w:r>
    </w:p>
    <w:p>
      <w:pPr>
        <w:pStyle w:val="ListNumber"/>
      </w:pPr>
      <w:r>
        <w:t>Hedef dönem seçildiğinde bir yıl önceki eş dönem doğru hesaplanır.</w:t>
      </w:r>
    </w:p>
    <w:p>
      <w:pPr>
        <w:pStyle w:val="ListNumber"/>
      </w:pPr>
      <w:r>
        <w:t>Örnek ürün/bedenlerde net satış kontrol raporuyla mutabıktır.</w:t>
      </w:r>
    </w:p>
    <w:p>
      <w:pPr>
        <w:pStyle w:val="ListNumber"/>
      </w:pPr>
      <w:r>
        <w:t>Tahmin, eş dönem net satış × büyüme çarpanı formülüyle bire bir doğrulanır.</w:t>
      </w:r>
    </w:p>
    <w:p>
      <w:pPr>
        <w:pStyle w:val="ListNumber"/>
      </w:pPr>
      <w:r>
        <w:t>Üretim ihtiyacı, tahmin − satılabilir stok hesabıyla bire bir doğrulanır ve negatif olmaz.</w:t>
      </w:r>
    </w:p>
    <w:p>
      <w:pPr>
        <w:pStyle w:val="ListNumber"/>
      </w:pPr>
      <w:r>
        <w:t>Zalando Fulfilled satışları Zalando Offerable; Partner Fulfilled satışları fulfillment location'a göre Ekol/Paris talebine gider.</w:t>
      </w:r>
    </w:p>
    <w:p>
      <w:pPr>
        <w:pStyle w:val="ListNumber"/>
      </w:pPr>
      <w:r>
        <w:t>Depo alokasyonlarının toplamı ürün/beden üretim ihtiyacına ve genel toplam üretime eşittir.</w:t>
      </w:r>
    </w:p>
    <w:p>
      <w:pPr>
        <w:pStyle w:val="ListNumber"/>
      </w:pPr>
      <w:r>
        <w:t>Eksik Order Type, location veya iade eşlemesi veri kalitesi uyarısı üretir.</w:t>
      </w:r>
    </w:p>
    <w:p>
      <w:pPr>
        <w:pStyle w:val="ListNumber"/>
      </w:pPr>
      <w:r>
        <w:t>Excel/CSV çıktısı ekrandaki sonuçla bire bir tutarlıdır.</w:t>
      </w:r>
    </w:p>
    <w:p>
      <w:pPr>
        <w:pStyle w:val="ListNumber"/>
      </w:pPr>
      <w:r>
        <w:t>Vizyon sunucusunda yetkili kullanıcı uygulamayı çalıştırabilir ve sonuç alabilir.</w:t>
      </w:r>
    </w:p>
    <w:p>
      <w:pPr>
        <w:pStyle w:val="Heading1"/>
      </w:pPr>
      <w:r>
        <w:t>12. Kapsam dışında kalan işler</w:t>
      </w:r>
    </w:p>
    <w:p>
      <w:pPr>
        <w:pStyle w:val="ListBullet"/>
      </w:pPr>
      <w:r>
        <w:t>Alternatif tahmin modelleri, backtest, tahmin doğruluk metrikleri ve makine öğrenmesi</w:t>
      </w:r>
    </w:p>
    <w:p>
      <w:pPr>
        <w:pStyle w:val="ListBullet"/>
      </w:pPr>
      <w:r>
        <w:t>Çoklu simülasyon ve senaryoları yan yana karşılaştırma</w:t>
      </w:r>
    </w:p>
    <w:p>
      <w:pPr>
        <w:pStyle w:val="ListBullet"/>
      </w:pPr>
      <w:r>
        <w:t>Eylül 2025 öncesi eski ürünlerin yeni ürünlere eşlenmesi</w:t>
      </w:r>
    </w:p>
    <w:p>
      <w:pPr>
        <w:pStyle w:val="ListBullet"/>
      </w:pPr>
      <w:r>
        <w:t>Açık PO, inbound, Work Order ve Transfer Order arzının ihtiyaçtan düşülmesi</w:t>
      </w:r>
    </w:p>
    <w:p>
      <w:pPr>
        <w:pStyle w:val="ListBullet"/>
      </w:pPr>
      <w:r>
        <w:t>MOQ, üretim katı, üretim kapasitesi, ham madde ve detaylı fabrika çizelgeleme</w:t>
      </w:r>
    </w:p>
    <w:p>
      <w:pPr>
        <w:pStyle w:val="ListBullet"/>
      </w:pPr>
      <w:r>
        <w:t>Otomatik depo transfer optimizasyonu</w:t>
      </w:r>
    </w:p>
    <w:p>
      <w:pPr>
        <w:pStyle w:val="ListBullet"/>
      </w:pPr>
      <w:r>
        <w:t>NetSuite'e Demand Plan, Work Order veya Transfer Order geri yazımı</w:t>
      </w:r>
    </w:p>
    <w:p>
      <w:pPr>
        <w:pStyle w:val="ListBullet"/>
      </w:pPr>
      <w:r>
        <w:t>Mobil uygulama, internetten yayın ve kurumsal SSO</w:t>
      </w:r>
    </w:p>
    <w:p>
      <w:pPr>
        <w:pStyle w:val="ListBullet"/>
      </w:pPr>
      <w:r>
        <w:t>Kapsamda belirtilmeyen rapor, dashboard veya üçüncü taraf sistem entegrasyonu</w:t>
      </w:r>
    </w:p>
    <w:p>
      <w:pPr>
        <w:pStyle w:val="Heading1"/>
      </w:pPr>
      <w:r>
        <w:t>13. Önerilen yanıt metni</w:t>
      </w:r>
    </w:p>
    <w:p>
      <w:r>
        <w:t>Konu: Talep ve Üretim Planlama Programı — Kapsam, Efor ve Takvim</w:t>
      </w:r>
    </w:p>
    <w:p>
      <w:r>
        <w:t>Merhaba,</w:t>
      </w:r>
    </w:p>
    <w:p>
      <w:r>
        <w:t>Detaylı geri bildiriminiz için teşekkür ederiz. İlettiğiniz açıklamalar doğrultusunda ilk sürüm kapsamını sadeleştirerek netleştirdik. Çözüm; Eylül 2025 sonrası yeni ürün yapısına ait NetSuite ürün, satış, iade ve satılabilir stok verilerini kullanacak; eski ve yeni SKU geçmişlerini birleştirmeyecektir.</w:t>
      </w:r>
    </w:p>
    <w:p>
      <w:r>
        <w:t>İlk sürümde satış tahmini, ürün ve beden bazında geçen yılın aynı dönemindeki net satışın kullanıcı tarafından girilen büyüme çarpanıyla çarpılmasıyla hesaplanacaktır. Üretim ihtiyacı tahminden mevcut satılabilir stok düşülerek belirlenecek; ürün/beden önceliği stok kapsaması ve üretim açığına göre sıralanacaktır.</w:t>
      </w:r>
    </w:p>
    <w:p>
      <w:r>
        <w:t>Depo alokasyonunda Zalando Order Type ve fulfillment location bilgisi kullanılacaktır. Zalando Fulfilled siparişler Zalando Offerable deposuna; Partner Fulfilled siparişler siparişin karşılandığı lokasyona göre Ekol veya Paris Shop talebine bağlanacaktır. Geçmiş net satış payları ve her depodaki mevcut satılabilir stok birlikte değerlendirilerek üretilecek miktarın depo dağılımı önerilecektir.</w:t>
      </w:r>
    </w:p>
    <w:p>
      <w:r>
        <w:t>Alternatif istatistiksel modeller, kontrol modelleri, çoklu simülasyonlar ve Eylül 2025 öncesi ürün eşlemesi bu faza dahil edilmeyecektir.</w:t>
      </w:r>
    </w:p>
    <w:p>
      <w:r>
        <w:t>Tanımlanan kapsam için toplam efor tahminimiz 34 kişi/gündür. 20.000 TL kişi/gün ticari varsayımıyla toplam proje bedeli 680.000 TL + KDV'dir. Bu tutar analiz ve veri eşleme, NetSuite entegrasyonu, planlama ve alokasyon geliştirmesi, kullanıcı ekranı, test/UAT, şirket içi kurulum ve kısa kullanıcı eğitimini kapsamaktadır.</w:t>
      </w:r>
    </w:p>
    <w:p>
      <w:r>
        <w:t>Gerekli onay ve erişimlerin 14 Ekim 2026'ya kadar tamamlanması halinde çalışmaya 15 Ekim 2026'da başlayabiliriz. Gerçek veriyle kullanılabilir ilk UAT sürümünü 6 Kasım 2026'da, kritik UAT maddelerinin kapanması koşuluyla canlı kullanım sürümünü 16 Kasım 2026'da devreye almayı hedefliyoruz.</w:t>
      </w:r>
    </w:p>
    <w:p>
      <w:r>
        <w:t>Takvimin korunabilmesi için NetSuite salt-okunur erişiminin, ilgili custom field ve location ID bilgilerinin, örnek kontrol raporlarının, kurulum sunucusunun ve karar verebilen iş birimi/UAT sorumlularının başlangıçta hazır olması gerekmektedir. Ayrıntılı kapsam, efor kırılımı, bağımlılıklar ve kabul kriterleri ekte sunulmuştur.</w:t>
      </w:r>
    </w:p>
    <w:p>
      <w:r>
        <w:t>Uygun görmeniz halinde kapsam ve veri erişimleri için kısa bir başlangıç toplantısıyla çalışmayı başlatabiliriz.</w:t>
      </w:r>
    </w:p>
    <w:p>
      <w:r>
        <w:t>İyi çalışmalar.</w:t>
      </w:r>
    </w:p>
    <w:p>
      <w:pPr>
        <w:pStyle w:val="Heading1"/>
      </w:pPr>
      <w:r>
        <w:t>14. Sonuç</w:t>
      </w:r>
    </w:p>
    <w:p>
      <w:r>
        <w:t>Revize kapsam, mevcut sezon içinde kullanılabilir sonuç üretmeye odaklanmaktadır. Yöntem tek ve açıktır; tarihsel ürün eşleme veya model seçimi çalışması gerektirmez. Projenin kritik yolu yazılım geliştirmeden çok NetSuite alanlarının doğru eşlenmesi, iade ve fulfillment verisinin depo talebine doğru bağlanması ve örnek rakamların iş birimiyle hızlı mutabakatıdır. Bu bağımlılıklar ilk haftada kapanırsa 6 Kasım kullanılabilir sürüm ve 16 Kasım canlı kullanım hedefleri uygulanabilir kabul edilmektedir.</w:t>
      </w:r>
    </w:p>
    <w:sectPr w:rsidR="00FC693F" w:rsidRPr="0006063C" w:rsidSect="00034616">
      <w:headerReference w:type="default" r:id="rId9"/>
      <w:footerReference w:type="default" r:id="rId10"/>
      <w:pgSz w:w="12240" w:h="15840"/>
      <w:pgMar w:top="1020" w:right="1134"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17E"/>
        <w:sz w:val="16"/>
      </w:rPr>
      <w:t xml:space="preserve">Gizli — Teklif değerlendirmesi için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717E"/>
        <w:sz w:val="16"/>
      </w:rPr>
      <w:t>VİZYON DERİ  |  TEMEL PLANLAMA KAPSAMI VE TEKLİF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B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B7A7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Vizyon Deri Temel Planlama Kapsam ve Teklifi</dc:title>
  <dc:subject>Eş dönem net satış temelli üretim ve depo alokasyon programı</dc:subject>
  <dc:creator>Mehmet Bey / Proje Ekibi</dc:creator>
  <cp:keywords>Vizyon Deri, NetSuite, üretim planlama, depo alokasyonu, teklif</cp:keywords>
  <dc:description>12 Ekim 2026 tarihli müşteri kapsam netleştirmesine göre hazırlanmıştır.</dc:description>
  <cp:lastModifiedBy/>
  <cp:revision>1</cp:revision>
  <dcterms:created xsi:type="dcterms:W3CDTF">2013-12-23T23:15:00Z</dcterms:created>
  <dcterms:modified xsi:type="dcterms:W3CDTF">2013-12-23T23:15:00Z</dcterms:modified>
  <cp:category/>
</cp:coreProperties>
</file>