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F5565F" w:rsidRDefault="004D4F36">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Critical Review of </w:t>
      </w:r>
      <w:r>
        <w:rPr>
          <w:rFonts w:ascii="Times New Roman" w:eastAsia="Times New Roman" w:hAnsi="Times New Roman" w:cs="Times New Roman"/>
          <w:b/>
          <w:i/>
          <w:sz w:val="24"/>
          <w:szCs w:val="24"/>
        </w:rPr>
        <w:t>Democracy, Autocracy, and Revolution in Post-Soviet Eurasia</w:t>
      </w:r>
    </w:p>
    <w:p w14:paraId="00000002" w14:textId="77777777" w:rsidR="00F5565F" w:rsidRDefault="00F5565F">
      <w:pPr>
        <w:spacing w:line="480" w:lineRule="auto"/>
        <w:ind w:firstLine="720"/>
        <w:rPr>
          <w:rFonts w:ascii="Times New Roman" w:eastAsia="Times New Roman" w:hAnsi="Times New Roman" w:cs="Times New Roman"/>
          <w:sz w:val="24"/>
          <w:szCs w:val="24"/>
        </w:rPr>
      </w:pPr>
    </w:p>
    <w:p w14:paraId="00000003" w14:textId="77777777" w:rsidR="00F5565F" w:rsidRDefault="004D4F36">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 A Brief Summary of the Article</w:t>
      </w:r>
    </w:p>
    <w:p w14:paraId="00000004" w14:textId="77777777" w:rsidR="00F5565F" w:rsidRDefault="004D4F3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Hale’s article </w:t>
      </w:r>
      <w:r>
        <w:rPr>
          <w:rFonts w:ascii="Times New Roman" w:eastAsia="Times New Roman" w:hAnsi="Times New Roman" w:cs="Times New Roman"/>
          <w:i/>
          <w:sz w:val="24"/>
          <w:szCs w:val="24"/>
        </w:rPr>
        <w:t>Democracy, Autocracy, and Revolution in Post-Soviet Eurasia</w:t>
      </w:r>
      <w:r>
        <w:rPr>
          <w:rFonts w:ascii="Times New Roman" w:eastAsia="Times New Roman" w:hAnsi="Times New Roman" w:cs="Times New Roman"/>
          <w:sz w:val="24"/>
          <w:szCs w:val="24"/>
        </w:rPr>
        <w:t xml:space="preserve"> argues that comparative analysis in political science has failed to adequately predict important postcommunist dynamics. He hypothesizes that this failure is due to misinterpretation of regime shi</w:t>
      </w:r>
      <w:r>
        <w:rPr>
          <w:rFonts w:ascii="Times New Roman" w:eastAsia="Times New Roman" w:hAnsi="Times New Roman" w:cs="Times New Roman"/>
          <w:sz w:val="24"/>
          <w:szCs w:val="24"/>
        </w:rPr>
        <w:t>fts; they are inaccurately perceived as a trajectory leading towards or away from ideal political extremities like democracy and autocracy. Hale’s hypothesis is contextualized by states whose political framework is that which he refers to as “patronal pres</w:t>
      </w:r>
      <w:r>
        <w:rPr>
          <w:rFonts w:ascii="Times New Roman" w:eastAsia="Times New Roman" w:hAnsi="Times New Roman" w:cs="Times New Roman"/>
          <w:sz w:val="24"/>
          <w:szCs w:val="24"/>
        </w:rPr>
        <w:t>identialism” (Hale 5). Crucially, he defines patronal presidentialism as being comprised of two factors; the first being that a president is directly elected and holds significant formal powers in relation to other state bodies, and the second being that s</w:t>
      </w:r>
      <w:r>
        <w:rPr>
          <w:rFonts w:ascii="Times New Roman" w:eastAsia="Times New Roman" w:hAnsi="Times New Roman" w:cs="Times New Roman"/>
          <w:sz w:val="24"/>
          <w:szCs w:val="24"/>
        </w:rPr>
        <w:t>aid president also holds significant informal powers that stem from widespread relationships of a patron-client nature, occurring wherein state and economy intersect.</w:t>
      </w:r>
    </w:p>
    <w:p w14:paraId="00000005" w14:textId="77777777" w:rsidR="00F5565F" w:rsidRDefault="004D4F36">
      <w:pPr>
        <w:spacing w:line="480" w:lineRule="auto"/>
        <w:ind w:firstLine="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elaborate on how regime shifts are cyclical within the patronal presidential </w:t>
      </w:r>
      <w:r>
        <w:rPr>
          <w:rFonts w:ascii="Times New Roman" w:eastAsia="Times New Roman" w:hAnsi="Times New Roman" w:cs="Times New Roman"/>
          <w:sz w:val="24"/>
          <w:szCs w:val="24"/>
        </w:rPr>
        <w:t xml:space="preserve">framework, Hale looks at three sets of former Soviet states, each of which exemplifies a pattern of patronal presidential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The first set consists of Russia and Azerbaijan, which exemplify successful succession of an incumbent president in the wak</w:t>
      </w:r>
      <w:r>
        <w:rPr>
          <w:rFonts w:ascii="Times New Roman" w:eastAsia="Times New Roman" w:hAnsi="Times New Roman" w:cs="Times New Roman"/>
          <w:sz w:val="24"/>
          <w:szCs w:val="24"/>
        </w:rPr>
        <w:t xml:space="preserve">e of what Hale refers to as a “lame-duck period” (12)— a period wherein socioeconomic </w:t>
      </w:r>
      <w:proofErr w:type="gramStart"/>
      <w:r>
        <w:rPr>
          <w:rFonts w:ascii="Times New Roman" w:eastAsia="Times New Roman" w:hAnsi="Times New Roman" w:cs="Times New Roman"/>
          <w:sz w:val="24"/>
          <w:szCs w:val="24"/>
        </w:rPr>
        <w:t>elites</w:t>
      </w:r>
      <w:proofErr w:type="gramEnd"/>
      <w:r>
        <w:rPr>
          <w:rFonts w:ascii="Times New Roman" w:eastAsia="Times New Roman" w:hAnsi="Times New Roman" w:cs="Times New Roman"/>
          <w:sz w:val="24"/>
          <w:szCs w:val="24"/>
        </w:rPr>
        <w:t xml:space="preserve"> defect from the incumbent’s team when they suspect the incumbent may leave office. The second set, comprised of Ukraine, Armenia, Georgia, and Kyrgyzstan, exemplif</w:t>
      </w:r>
      <w:r>
        <w:rPr>
          <w:rFonts w:ascii="Times New Roman" w:eastAsia="Times New Roman" w:hAnsi="Times New Roman" w:cs="Times New Roman"/>
          <w:sz w:val="24"/>
          <w:szCs w:val="24"/>
        </w:rPr>
        <w:t xml:space="preserve">ies the alternative; the incumbent presidents still underwent lame-duck periods, but a hand-picked successor was not successfully led into power post hoc. The third and final set includes Belarus, Kazakhstan, Tajikistan, Turkmenistan, and </w:t>
      </w:r>
      <w:r>
        <w:rPr>
          <w:rFonts w:ascii="Times New Roman" w:eastAsia="Times New Roman" w:hAnsi="Times New Roman" w:cs="Times New Roman"/>
          <w:sz w:val="24"/>
          <w:szCs w:val="24"/>
        </w:rPr>
        <w:lastRenderedPageBreak/>
        <w:t>Uzbekistan, in wh</w:t>
      </w:r>
      <w:r>
        <w:rPr>
          <w:rFonts w:ascii="Times New Roman" w:eastAsia="Times New Roman" w:hAnsi="Times New Roman" w:cs="Times New Roman"/>
          <w:sz w:val="24"/>
          <w:szCs w:val="24"/>
        </w:rPr>
        <w:t xml:space="preserve">ich any contestation phase after the inauguration of </w:t>
      </w:r>
      <w:proofErr w:type="spellStart"/>
      <w:r>
        <w:rPr>
          <w:rFonts w:ascii="Times New Roman" w:eastAsia="Times New Roman" w:hAnsi="Times New Roman" w:cs="Times New Roman"/>
          <w:sz w:val="24"/>
          <w:szCs w:val="24"/>
        </w:rPr>
        <w:t>superpresidential</w:t>
      </w:r>
      <w:proofErr w:type="spellEnd"/>
      <w:r>
        <w:rPr>
          <w:rFonts w:ascii="Times New Roman" w:eastAsia="Times New Roman" w:hAnsi="Times New Roman" w:cs="Times New Roman"/>
          <w:sz w:val="24"/>
          <w:szCs w:val="24"/>
        </w:rPr>
        <w:t xml:space="preserve"> institutions is seemingly lacking— in other words, there was no succession at all.</w:t>
      </w:r>
    </w:p>
    <w:p w14:paraId="00000006" w14:textId="77777777" w:rsidR="00F5565F" w:rsidRDefault="004D4F3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Hale article aims to further research pertaining to regime cycles. It offers a sort of in</w:t>
      </w:r>
      <w:r>
        <w:rPr>
          <w:rFonts w:ascii="Times New Roman" w:eastAsia="Times New Roman" w:hAnsi="Times New Roman" w:cs="Times New Roman"/>
          <w:sz w:val="24"/>
          <w:szCs w:val="24"/>
        </w:rPr>
        <w:t xml:space="preserve">stitutional logic behind the collective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of elites and their relationship to incumbent presidents, which when applied can aid in understanding the patterns of regime oscillation between ideals like democracy and autocracy. Ultimately, the article </w:t>
      </w:r>
      <w:r>
        <w:rPr>
          <w:rFonts w:ascii="Times New Roman" w:eastAsia="Times New Roman" w:hAnsi="Times New Roman" w:cs="Times New Roman"/>
          <w:sz w:val="24"/>
          <w:szCs w:val="24"/>
        </w:rPr>
        <w:t xml:space="preserve">contributes to the existing literature by proposing a particular lens through which future research can examine regime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better understand the postcommunist world and the political world beyond it.</w:t>
      </w:r>
    </w:p>
    <w:p w14:paraId="00000007" w14:textId="77777777" w:rsidR="00F5565F" w:rsidRDefault="00F5565F">
      <w:pPr>
        <w:spacing w:line="480" w:lineRule="auto"/>
        <w:rPr>
          <w:rFonts w:ascii="Times New Roman" w:eastAsia="Times New Roman" w:hAnsi="Times New Roman" w:cs="Times New Roman"/>
          <w:sz w:val="24"/>
          <w:szCs w:val="24"/>
        </w:rPr>
      </w:pPr>
    </w:p>
    <w:p w14:paraId="00000008" w14:textId="77777777" w:rsidR="00F5565F" w:rsidRDefault="004D4F36">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Does Hale Have a Strong Basis for Inf</w:t>
      </w:r>
      <w:r>
        <w:rPr>
          <w:rFonts w:ascii="Times New Roman" w:eastAsia="Times New Roman" w:hAnsi="Times New Roman" w:cs="Times New Roman"/>
          <w:b/>
          <w:sz w:val="24"/>
          <w:szCs w:val="24"/>
        </w:rPr>
        <w:t>erring Causality?</w:t>
      </w:r>
    </w:p>
    <w:p w14:paraId="00000009" w14:textId="77777777" w:rsidR="00F5565F" w:rsidRDefault="004D4F3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Hale has a strong basis for inferring causality. Since he uses a qualitative approach, the quality of the cases (specifically Russia and Ukraine) is more important than the number of cases. This makes the in-depth analysis he does of Russ</w:t>
      </w:r>
      <w:r>
        <w:rPr>
          <w:rFonts w:ascii="Times New Roman" w:eastAsia="Times New Roman" w:hAnsi="Times New Roman" w:cs="Times New Roman"/>
          <w:sz w:val="24"/>
          <w:szCs w:val="24"/>
        </w:rPr>
        <w:t xml:space="preserve">ia and Ukraine satisfactory. By using the comparative method, Hale tests his hypothesis with a most-similar systems approach. This is when the cases have similar potential </w:t>
      </w:r>
      <w:proofErr w:type="gramStart"/>
      <w:r>
        <w:rPr>
          <w:rFonts w:ascii="Times New Roman" w:eastAsia="Times New Roman" w:hAnsi="Times New Roman" w:cs="Times New Roman"/>
          <w:sz w:val="24"/>
          <w:szCs w:val="24"/>
        </w:rPr>
        <w:t>confounders, but</w:t>
      </w:r>
      <w:proofErr w:type="gramEnd"/>
      <w:r>
        <w:rPr>
          <w:rFonts w:ascii="Times New Roman" w:eastAsia="Times New Roman" w:hAnsi="Times New Roman" w:cs="Times New Roman"/>
          <w:sz w:val="24"/>
          <w:szCs w:val="24"/>
        </w:rPr>
        <w:t xml:space="preserve"> have different outcomes. Hale subsets the countries and looks at th</w:t>
      </w:r>
      <w:r>
        <w:rPr>
          <w:rFonts w:ascii="Times New Roman" w:eastAsia="Times New Roman" w:hAnsi="Times New Roman" w:cs="Times New Roman"/>
          <w:sz w:val="24"/>
          <w:szCs w:val="24"/>
        </w:rPr>
        <w:t>ree categories based on their outcome with the goal of finding the variable that causes the difference in outcome. A most-similar system design is effective for inferring causality because the confounders are held constant. When using the comparative metho</w:t>
      </w:r>
      <w:r>
        <w:rPr>
          <w:rFonts w:ascii="Times New Roman" w:eastAsia="Times New Roman" w:hAnsi="Times New Roman" w:cs="Times New Roman"/>
          <w:sz w:val="24"/>
          <w:szCs w:val="24"/>
        </w:rPr>
        <w:t>d, it is a lot easier to adjust for confounders because all it requires is finding a case that has the same confounder. If we find two cases that have similar results in relation to a confounding variable yet have different outcomes, we can conclude that t</w:t>
      </w:r>
      <w:r>
        <w:rPr>
          <w:rFonts w:ascii="Times New Roman" w:eastAsia="Times New Roman" w:hAnsi="Times New Roman" w:cs="Times New Roman"/>
          <w:sz w:val="24"/>
          <w:szCs w:val="24"/>
        </w:rPr>
        <w:t xml:space="preserve">hat isn’t the actual confounding variable. This eliminates other potential confounders, making it easier to find the true </w:t>
      </w:r>
      <w:r>
        <w:rPr>
          <w:rFonts w:ascii="Times New Roman" w:eastAsia="Times New Roman" w:hAnsi="Times New Roman" w:cs="Times New Roman"/>
          <w:sz w:val="24"/>
          <w:szCs w:val="24"/>
        </w:rPr>
        <w:lastRenderedPageBreak/>
        <w:t>confounding variable. Hale concludes that the principal confounder between the three sets of cases is public opinion. By determining a</w:t>
      </w:r>
      <w:r>
        <w:rPr>
          <w:rFonts w:ascii="Times New Roman" w:eastAsia="Times New Roman" w:hAnsi="Times New Roman" w:cs="Times New Roman"/>
          <w:sz w:val="24"/>
          <w:szCs w:val="24"/>
        </w:rPr>
        <w:t xml:space="preserve"> strong confounding variable that connects the three sets of cases, and because the number of cases isn’t as important due to Hale using the qualitative approach, </w:t>
      </w:r>
      <w:commentRangeStart w:id="0"/>
      <w:r>
        <w:rPr>
          <w:rFonts w:ascii="Times New Roman" w:eastAsia="Times New Roman" w:hAnsi="Times New Roman" w:cs="Times New Roman"/>
          <w:sz w:val="24"/>
          <w:szCs w:val="24"/>
        </w:rPr>
        <w:t>we can conclude that Hale has a strong basis for inferring causality</w:t>
      </w:r>
      <w:commentRangeEnd w:id="0"/>
      <w:r w:rsidR="009C02E1">
        <w:rPr>
          <w:rStyle w:val="CommentReference"/>
        </w:rPr>
        <w:commentReference w:id="0"/>
      </w:r>
      <w:r>
        <w:rPr>
          <w:rFonts w:ascii="Times New Roman" w:eastAsia="Times New Roman" w:hAnsi="Times New Roman" w:cs="Times New Roman"/>
          <w:sz w:val="24"/>
          <w:szCs w:val="24"/>
        </w:rPr>
        <w:t xml:space="preserve">. </w:t>
      </w:r>
    </w:p>
    <w:p w14:paraId="0000000A" w14:textId="77777777" w:rsidR="00F5565F" w:rsidRDefault="00F5565F">
      <w:pPr>
        <w:spacing w:line="480" w:lineRule="auto"/>
        <w:ind w:firstLine="720"/>
        <w:rPr>
          <w:rFonts w:ascii="Times New Roman" w:eastAsia="Times New Roman" w:hAnsi="Times New Roman" w:cs="Times New Roman"/>
          <w:sz w:val="24"/>
          <w:szCs w:val="24"/>
        </w:rPr>
      </w:pPr>
    </w:p>
    <w:p w14:paraId="0000000B" w14:textId="77777777" w:rsidR="00F5565F" w:rsidRDefault="004D4F36">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Does Hale do a Good J</w:t>
      </w:r>
      <w:r>
        <w:rPr>
          <w:rFonts w:ascii="Times New Roman" w:eastAsia="Times New Roman" w:hAnsi="Times New Roman" w:cs="Times New Roman"/>
          <w:b/>
          <w:sz w:val="24"/>
          <w:szCs w:val="24"/>
        </w:rPr>
        <w:t>ob of Measuring the key Concepts?</w:t>
      </w:r>
    </w:p>
    <w:p w14:paraId="0000000C" w14:textId="77777777" w:rsidR="00F5565F" w:rsidRDefault="004D4F3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Hale uses a qualitative approach in this article, so there is little focus on operationalizing concepts for numerical analysis. The variables tend to differ in their level of precision, thus in some cases the distinctions </w:t>
      </w:r>
      <w:r>
        <w:rPr>
          <w:rFonts w:ascii="Times New Roman" w:eastAsia="Times New Roman" w:hAnsi="Times New Roman" w:cs="Times New Roman"/>
          <w:sz w:val="24"/>
          <w:szCs w:val="24"/>
        </w:rPr>
        <w:t>between the categories of the variables are rather imprecise, and in other cases, they are highly precise. Hale selects nominal variables as his level of measurement. He takes categorical concepts and operationalizes them into nominal variables, where cate</w:t>
      </w:r>
      <w:r>
        <w:rPr>
          <w:rFonts w:ascii="Times New Roman" w:eastAsia="Times New Roman" w:hAnsi="Times New Roman" w:cs="Times New Roman"/>
          <w:sz w:val="24"/>
          <w:szCs w:val="24"/>
        </w:rPr>
        <w:t>gories cannot be ordered or ranked. Hale uses succession, economy, and differing reactions to the fall of the USSR as nominal variables. There are differences that exist between the categories of the variables and, although numerical values are assigned to</w:t>
      </w:r>
      <w:r>
        <w:rPr>
          <w:rFonts w:ascii="Times New Roman" w:eastAsia="Times New Roman" w:hAnsi="Times New Roman" w:cs="Times New Roman"/>
          <w:sz w:val="24"/>
          <w:szCs w:val="24"/>
        </w:rPr>
        <w:t xml:space="preserve"> the categories, there is no mathematical relationship found between the values. </w:t>
      </w:r>
      <w:commentRangeStart w:id="1"/>
      <w:r>
        <w:rPr>
          <w:rFonts w:ascii="Times New Roman" w:eastAsia="Times New Roman" w:hAnsi="Times New Roman" w:cs="Times New Roman"/>
          <w:sz w:val="24"/>
          <w:szCs w:val="24"/>
        </w:rPr>
        <w:t xml:space="preserve">Since Hale cannot measure, he operationalizes and therefore hypothesizes that the “successful” countries were strongly influenced by a positive public opinion. </w:t>
      </w:r>
      <w:commentRangeEnd w:id="1"/>
      <w:r w:rsidR="008614F1">
        <w:rPr>
          <w:rStyle w:val="CommentReference"/>
        </w:rPr>
        <w:commentReference w:id="1"/>
      </w:r>
      <w:r>
        <w:rPr>
          <w:rFonts w:ascii="Times New Roman" w:eastAsia="Times New Roman" w:hAnsi="Times New Roman" w:cs="Times New Roman"/>
          <w:sz w:val="24"/>
          <w:szCs w:val="24"/>
        </w:rPr>
        <w:t>When critiquing</w:t>
      </w:r>
      <w:r>
        <w:rPr>
          <w:rFonts w:ascii="Times New Roman" w:eastAsia="Times New Roman" w:hAnsi="Times New Roman" w:cs="Times New Roman"/>
          <w:sz w:val="24"/>
          <w:szCs w:val="24"/>
        </w:rPr>
        <w:t xml:space="preserve"> the author’s measurement of the key concepts, we must consider reliability, which is the extent to which the measurement of a quantity yields consistent results. A measure remains reliable if it is consistent regardless of other circumstances that we call</w:t>
      </w:r>
      <w:r>
        <w:rPr>
          <w:rFonts w:ascii="Times New Roman" w:eastAsia="Times New Roman" w:hAnsi="Times New Roman" w:cs="Times New Roman"/>
          <w:sz w:val="24"/>
          <w:szCs w:val="24"/>
        </w:rPr>
        <w:t xml:space="preserve"> “noise”. There are </w:t>
      </w:r>
      <w:proofErr w:type="gramStart"/>
      <w:r>
        <w:rPr>
          <w:rFonts w:ascii="Times New Roman" w:eastAsia="Times New Roman" w:hAnsi="Times New Roman" w:cs="Times New Roman"/>
          <w:sz w:val="24"/>
          <w:szCs w:val="24"/>
        </w:rPr>
        <w:t>a number of</w:t>
      </w:r>
      <w:proofErr w:type="gramEnd"/>
      <w:r>
        <w:rPr>
          <w:rFonts w:ascii="Times New Roman" w:eastAsia="Times New Roman" w:hAnsi="Times New Roman" w:cs="Times New Roman"/>
          <w:sz w:val="24"/>
          <w:szCs w:val="24"/>
        </w:rPr>
        <w:t xml:space="preserve"> human measurement errors that make it harder to see whether the confounding variable Hale has chosen is reliable. First, since Hale is conducting observational research, he cannot manipulate confounders. In addition, another</w:t>
      </w:r>
      <w:r>
        <w:rPr>
          <w:rFonts w:ascii="Times New Roman" w:eastAsia="Times New Roman" w:hAnsi="Times New Roman" w:cs="Times New Roman"/>
          <w:sz w:val="24"/>
          <w:szCs w:val="24"/>
        </w:rPr>
        <w:t xml:space="preserve"> consideration for measurement error is validity, which looks at the extent to which the measurement of a concept matches the </w:t>
      </w:r>
      <w:r>
        <w:rPr>
          <w:rFonts w:ascii="Times New Roman" w:eastAsia="Times New Roman" w:hAnsi="Times New Roman" w:cs="Times New Roman"/>
          <w:sz w:val="24"/>
          <w:szCs w:val="24"/>
        </w:rPr>
        <w:lastRenderedPageBreak/>
        <w:t>conceptual definition. As stated in the answer above, since Hale has a high basis for inferring causality, this plays a direct rol</w:t>
      </w:r>
      <w:r>
        <w:rPr>
          <w:rFonts w:ascii="Times New Roman" w:eastAsia="Times New Roman" w:hAnsi="Times New Roman" w:cs="Times New Roman"/>
          <w:sz w:val="24"/>
          <w:szCs w:val="24"/>
        </w:rPr>
        <w:t xml:space="preserve">e in establishing high internal validity. To add, because of the high internal validity, if a society were to fall within the institutional framework known as patronal presidentialism this would then make for high external validity. This would be the case </w:t>
      </w:r>
      <w:r>
        <w:rPr>
          <w:rFonts w:ascii="Times New Roman" w:eastAsia="Times New Roman" w:hAnsi="Times New Roman" w:cs="Times New Roman"/>
          <w:sz w:val="24"/>
          <w:szCs w:val="24"/>
        </w:rPr>
        <w:t xml:space="preserve">because Hale’s theory can accurately predict whether the incumbent’s successor can successfully become elected.      </w:t>
      </w:r>
    </w:p>
    <w:p w14:paraId="0000000D" w14:textId="77777777" w:rsidR="00F5565F" w:rsidRDefault="00F5565F">
      <w:pPr>
        <w:spacing w:line="480" w:lineRule="auto"/>
        <w:rPr>
          <w:rFonts w:ascii="Times New Roman" w:eastAsia="Times New Roman" w:hAnsi="Times New Roman" w:cs="Times New Roman"/>
          <w:sz w:val="24"/>
          <w:szCs w:val="24"/>
        </w:rPr>
      </w:pPr>
    </w:p>
    <w:p w14:paraId="0000000E" w14:textId="77777777" w:rsidR="00F5565F" w:rsidRDefault="00F5565F">
      <w:pPr>
        <w:spacing w:line="480" w:lineRule="auto"/>
        <w:jc w:val="center"/>
        <w:rPr>
          <w:rFonts w:ascii="Times New Roman" w:eastAsia="Times New Roman" w:hAnsi="Times New Roman" w:cs="Times New Roman"/>
          <w:b/>
          <w:sz w:val="24"/>
          <w:szCs w:val="24"/>
        </w:rPr>
      </w:pPr>
    </w:p>
    <w:p w14:paraId="0000000F" w14:textId="77777777" w:rsidR="00F5565F" w:rsidRDefault="004D4F36">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Does Hale Provide a Good Justification for Using the Comparative Method?</w:t>
      </w:r>
    </w:p>
    <w:p w14:paraId="00000010" w14:textId="77777777" w:rsidR="00F5565F" w:rsidRDefault="00F5565F">
      <w:pPr>
        <w:spacing w:line="480" w:lineRule="auto"/>
        <w:jc w:val="center"/>
        <w:rPr>
          <w:rFonts w:ascii="Times New Roman" w:eastAsia="Times New Roman" w:hAnsi="Times New Roman" w:cs="Times New Roman"/>
          <w:b/>
          <w:sz w:val="24"/>
          <w:szCs w:val="24"/>
        </w:rPr>
      </w:pPr>
    </w:p>
    <w:p w14:paraId="00000011" w14:textId="77777777" w:rsidR="00F5565F" w:rsidRDefault="004D4F36">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Hale acknowledges that, given his use of the comparative meth</w:t>
      </w:r>
      <w:r>
        <w:rPr>
          <w:rFonts w:ascii="Times New Roman" w:eastAsia="Times New Roman" w:hAnsi="Times New Roman" w:cs="Times New Roman"/>
          <w:sz w:val="24"/>
          <w:szCs w:val="24"/>
        </w:rPr>
        <w:t>od, the logical conclusions at which he arrives are most directly applicable to countries with a history of patrimonial communism, as is the case with those he discussed. However, Hale equally acknowledges the importance of studying the distinctions betwee</w:t>
      </w:r>
      <w:r>
        <w:rPr>
          <w:rFonts w:ascii="Times New Roman" w:eastAsia="Times New Roman" w:hAnsi="Times New Roman" w:cs="Times New Roman"/>
          <w:sz w:val="24"/>
          <w:szCs w:val="24"/>
        </w:rPr>
        <w:t>n the countries he examined and others outside the post-Soviet Eurasian sphere. Hence, Hale provides justification for his use of the comparative method by proposing that the findings of his comparative analysis have the potential to be high in external va</w:t>
      </w:r>
      <w:r>
        <w:rPr>
          <w:rFonts w:ascii="Times New Roman" w:eastAsia="Times New Roman" w:hAnsi="Times New Roman" w:cs="Times New Roman"/>
          <w:sz w:val="24"/>
          <w:szCs w:val="24"/>
        </w:rPr>
        <w:t xml:space="preserve">lidity. To elaborate, we note that Hale identifies political parties as one factor that may give rise to distinctions between postcommunist cases and others in the international community; while political parties were weak players on the political playing </w:t>
      </w:r>
      <w:r>
        <w:rPr>
          <w:rFonts w:ascii="Times New Roman" w:eastAsia="Times New Roman" w:hAnsi="Times New Roman" w:cs="Times New Roman"/>
          <w:sz w:val="24"/>
          <w:szCs w:val="24"/>
        </w:rPr>
        <w:t>fields of post-Soviet states, they may be stronger influencers in states beyond the postcommunist sphere. Moreover, Hale suggests that variations in the formal and informal relationships between state and economy (within a patronal presidentialism framewor</w:t>
      </w:r>
      <w:r>
        <w:rPr>
          <w:rFonts w:ascii="Times New Roman" w:eastAsia="Times New Roman" w:hAnsi="Times New Roman" w:cs="Times New Roman"/>
          <w:sz w:val="24"/>
          <w:szCs w:val="24"/>
        </w:rPr>
        <w:t xml:space="preserve">k), which he discussed in his comparative analysis, can be studied outside the postcommunist sphere. For example, Hale says </w:t>
      </w:r>
      <w:r>
        <w:rPr>
          <w:rFonts w:ascii="Times New Roman" w:eastAsia="Times New Roman" w:hAnsi="Times New Roman" w:cs="Times New Roman"/>
          <w:sz w:val="24"/>
          <w:szCs w:val="24"/>
        </w:rPr>
        <w:lastRenderedPageBreak/>
        <w:t>that countries with more diverse economies or more distinction between state and economy may be less susceptible to the conditions o</w:t>
      </w:r>
      <w:r>
        <w:rPr>
          <w:rFonts w:ascii="Times New Roman" w:eastAsia="Times New Roman" w:hAnsi="Times New Roman" w:cs="Times New Roman"/>
          <w:sz w:val="24"/>
          <w:szCs w:val="24"/>
        </w:rPr>
        <w:t>f cyclic regime patterns, in comparison to those of post-Soviet Eurasia. This further supports his use of the comparative method as being justified by its strong potential for generalizability.</w:t>
      </w:r>
    </w:p>
    <w:p w14:paraId="00000012" w14:textId="77777777" w:rsidR="00F5565F" w:rsidRDefault="00F5565F">
      <w:pPr>
        <w:spacing w:line="480" w:lineRule="auto"/>
        <w:rPr>
          <w:rFonts w:ascii="Times New Roman" w:eastAsia="Times New Roman" w:hAnsi="Times New Roman" w:cs="Times New Roman"/>
          <w:sz w:val="24"/>
          <w:szCs w:val="24"/>
        </w:rPr>
      </w:pPr>
    </w:p>
    <w:p w14:paraId="00000013" w14:textId="77777777" w:rsidR="00F5565F" w:rsidRDefault="004D4F36">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Is there Another Empirical Method that Would be Better Suited</w:t>
      </w:r>
      <w:r>
        <w:rPr>
          <w:rFonts w:ascii="Times New Roman" w:eastAsia="Times New Roman" w:hAnsi="Times New Roman" w:cs="Times New Roman"/>
          <w:b/>
          <w:sz w:val="24"/>
          <w:szCs w:val="24"/>
        </w:rPr>
        <w:t xml:space="preserve"> to Tackle this Research Question and Hypothesis?</w:t>
      </w:r>
    </w:p>
    <w:p w14:paraId="00000014" w14:textId="77777777" w:rsidR="00F5565F" w:rsidRDefault="004D4F3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Hale’s focus on small-N research rather than large-N suits his hypothesis and the way he defines his concept for several reasons. Firstly, Hale explores the post-Soviet world in a manner that focuses on dee</w:t>
      </w:r>
      <w:r>
        <w:rPr>
          <w:rFonts w:ascii="Times New Roman" w:eastAsia="Times New Roman" w:hAnsi="Times New Roman" w:cs="Times New Roman"/>
          <w:sz w:val="24"/>
          <w:szCs w:val="24"/>
        </w:rPr>
        <w:t xml:space="preserve">ply understanding the various factors affecting outcomes of individual cases. Hale organizes his variables nominally rather than ordinarily, so there would be difficulty operationalizing the concepts he discusses for large-N experimental research.  Due to </w:t>
      </w:r>
      <w:r>
        <w:rPr>
          <w:rFonts w:ascii="Times New Roman" w:eastAsia="Times New Roman" w:hAnsi="Times New Roman" w:cs="Times New Roman"/>
          <w:sz w:val="24"/>
          <w:szCs w:val="24"/>
        </w:rPr>
        <w:t xml:space="preserve">this, qualitative methods and small-N research are suitable in his research. These methods also suit his </w:t>
      </w:r>
      <w:proofErr w:type="gramStart"/>
      <w:r>
        <w:rPr>
          <w:rFonts w:ascii="Times New Roman" w:eastAsia="Times New Roman" w:hAnsi="Times New Roman" w:cs="Times New Roman"/>
          <w:sz w:val="24"/>
          <w:szCs w:val="24"/>
        </w:rPr>
        <w:t>particular hypothesis</w:t>
      </w:r>
      <w:proofErr w:type="gramEnd"/>
      <w:r>
        <w:rPr>
          <w:rFonts w:ascii="Times New Roman" w:eastAsia="Times New Roman" w:hAnsi="Times New Roman" w:cs="Times New Roman"/>
          <w:sz w:val="24"/>
          <w:szCs w:val="24"/>
        </w:rPr>
        <w:t>, his unorthodox take on post-Soviet regime changes: that regimes in various stages in various cases are not points on a scale bet</w:t>
      </w:r>
      <w:r>
        <w:rPr>
          <w:rFonts w:ascii="Times New Roman" w:eastAsia="Times New Roman" w:hAnsi="Times New Roman" w:cs="Times New Roman"/>
          <w:sz w:val="24"/>
          <w:szCs w:val="24"/>
        </w:rPr>
        <w:t>ween democracy and autocracy, moving towards one or the other, but instead exist as “hybrid” states unto themselves, and move cyclically rather than linearly.</w:t>
      </w:r>
    </w:p>
    <w:p w14:paraId="00000015" w14:textId="77777777" w:rsidR="00F5565F" w:rsidRDefault="004D4F3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Hale’s MSS method is useful in identifying potential causal variables for various instances of re</w:t>
      </w:r>
      <w:r>
        <w:rPr>
          <w:rFonts w:ascii="Times New Roman" w:eastAsia="Times New Roman" w:hAnsi="Times New Roman" w:cs="Times New Roman"/>
          <w:sz w:val="24"/>
          <w:szCs w:val="24"/>
        </w:rPr>
        <w:t xml:space="preserve">gime change. A potential method would be a simple case study, using a failed most-likely system. Hale would establish a causal theory and then search for a case that </w:t>
      </w:r>
      <w:r>
        <w:rPr>
          <w:rFonts w:ascii="Times New Roman" w:eastAsia="Times New Roman" w:hAnsi="Times New Roman" w:cs="Times New Roman"/>
          <w:i/>
          <w:sz w:val="24"/>
          <w:szCs w:val="24"/>
        </w:rPr>
        <w:t>should</w:t>
      </w:r>
      <w:r>
        <w:rPr>
          <w:rFonts w:ascii="Times New Roman" w:eastAsia="Times New Roman" w:hAnsi="Times New Roman" w:cs="Times New Roman"/>
          <w:sz w:val="24"/>
          <w:szCs w:val="24"/>
        </w:rPr>
        <w:t xml:space="preserve"> have followed this theory but didn’t. However, this (or a successful least-likely m</w:t>
      </w:r>
      <w:r>
        <w:rPr>
          <w:rFonts w:ascii="Times New Roman" w:eastAsia="Times New Roman" w:hAnsi="Times New Roman" w:cs="Times New Roman"/>
          <w:sz w:val="24"/>
          <w:szCs w:val="24"/>
        </w:rPr>
        <w:t xml:space="preserve">ethod) would arguably be inappropriate because it would involve testing a causal theory. Hale only compiles his data and suggests some potential factors causing various regime change outcomes in his </w:t>
      </w:r>
      <w:r>
        <w:rPr>
          <w:rFonts w:ascii="Times New Roman" w:eastAsia="Times New Roman" w:hAnsi="Times New Roman" w:cs="Times New Roman"/>
          <w:sz w:val="24"/>
          <w:szCs w:val="24"/>
        </w:rPr>
        <w:lastRenderedPageBreak/>
        <w:t>conclusion: to effectively use a case study method Hale w</w:t>
      </w:r>
      <w:r>
        <w:rPr>
          <w:rFonts w:ascii="Times New Roman" w:eastAsia="Times New Roman" w:hAnsi="Times New Roman" w:cs="Times New Roman"/>
          <w:sz w:val="24"/>
          <w:szCs w:val="24"/>
        </w:rPr>
        <w:t>ould have had to have these variables at the beginning.</w:t>
      </w:r>
    </w:p>
    <w:p w14:paraId="00000016" w14:textId="77777777" w:rsidR="00F5565F" w:rsidRDefault="004D4F3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Hale’s particular plan (an in-depth study of </w:t>
      </w:r>
      <w:proofErr w:type="gramStart"/>
      <w:r>
        <w:rPr>
          <w:rFonts w:ascii="Times New Roman" w:eastAsia="Times New Roman" w:hAnsi="Times New Roman" w:cs="Times New Roman"/>
          <w:sz w:val="24"/>
          <w:szCs w:val="24"/>
        </w:rPr>
        <w:t>nominally-</w:t>
      </w:r>
      <w:proofErr w:type="spellStart"/>
      <w:r>
        <w:rPr>
          <w:rFonts w:ascii="Times New Roman" w:eastAsia="Times New Roman" w:hAnsi="Times New Roman" w:cs="Times New Roman"/>
          <w:sz w:val="24"/>
          <w:szCs w:val="24"/>
        </w:rPr>
        <w:t>categorised</w:t>
      </w:r>
      <w:proofErr w:type="spellEnd"/>
      <w:proofErr w:type="gramEnd"/>
      <w:r>
        <w:rPr>
          <w:rFonts w:ascii="Times New Roman" w:eastAsia="Times New Roman" w:hAnsi="Times New Roman" w:cs="Times New Roman"/>
          <w:sz w:val="24"/>
          <w:szCs w:val="24"/>
        </w:rPr>
        <w:t xml:space="preserve"> cases, for which large-N research would have been unsuitable) and hypothesis (non-directional, so no theory to test with a case s</w:t>
      </w:r>
      <w:r>
        <w:rPr>
          <w:rFonts w:ascii="Times New Roman" w:eastAsia="Times New Roman" w:hAnsi="Times New Roman" w:cs="Times New Roman"/>
          <w:sz w:val="24"/>
          <w:szCs w:val="24"/>
        </w:rPr>
        <w:t xml:space="preserve">tudy analysis), an MSS comparative analysis was best suited to trying to explain the chaotic nature of post-Soviet </w:t>
      </w:r>
      <w:commentRangeStart w:id="2"/>
      <w:r>
        <w:rPr>
          <w:rFonts w:ascii="Times New Roman" w:eastAsia="Times New Roman" w:hAnsi="Times New Roman" w:cs="Times New Roman"/>
          <w:sz w:val="24"/>
          <w:szCs w:val="24"/>
        </w:rPr>
        <w:t>regime change.</w:t>
      </w:r>
      <w:commentRangeEnd w:id="2"/>
      <w:r w:rsidR="007A1369">
        <w:rPr>
          <w:rStyle w:val="CommentReference"/>
        </w:rPr>
        <w:commentReference w:id="2"/>
      </w:r>
    </w:p>
    <w:p w14:paraId="00000017" w14:textId="77777777" w:rsidR="00F5565F" w:rsidRDefault="00F5565F">
      <w:pPr>
        <w:spacing w:line="480" w:lineRule="auto"/>
        <w:rPr>
          <w:rFonts w:ascii="Times New Roman" w:eastAsia="Times New Roman" w:hAnsi="Times New Roman" w:cs="Times New Roman"/>
          <w:sz w:val="24"/>
          <w:szCs w:val="24"/>
        </w:rPr>
      </w:pPr>
    </w:p>
    <w:p w14:paraId="00000018" w14:textId="77777777" w:rsidR="00F5565F" w:rsidRDefault="00F5565F">
      <w:pPr>
        <w:spacing w:line="480" w:lineRule="auto"/>
        <w:ind w:left="1440"/>
        <w:rPr>
          <w:rFonts w:ascii="Times New Roman" w:eastAsia="Times New Roman" w:hAnsi="Times New Roman" w:cs="Times New Roman"/>
          <w:sz w:val="24"/>
          <w:szCs w:val="24"/>
        </w:rPr>
      </w:pPr>
    </w:p>
    <w:sectPr w:rsidR="00F5565F">
      <w:headerReference w:type="default" r:id="rId10"/>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Olivier Bergeron-Boutin" w:date="2022-01-04T16:49:00Z" w:initials="OB">
    <w:p w14:paraId="496D523D" w14:textId="77777777" w:rsidR="009C02E1" w:rsidRDefault="009C02E1" w:rsidP="00307D07">
      <w:pPr>
        <w:pStyle w:val="CommentText"/>
      </w:pPr>
      <w:r>
        <w:rPr>
          <w:rStyle w:val="CommentReference"/>
        </w:rPr>
        <w:annotationRef/>
      </w:r>
      <w:r>
        <w:rPr>
          <w:lang w:val="en-CA"/>
        </w:rPr>
        <w:t>Ok, but we can only adjust for confounders that we actually think of; is there anything that he neglected and that could threaten internal validity? It is hard to find countries that are similar on all plausible confounders!</w:t>
      </w:r>
    </w:p>
  </w:comment>
  <w:comment w:id="1" w:author="Olivier Bergeron-Boutin" w:date="2022-01-04T16:50:00Z" w:initials="OB">
    <w:p w14:paraId="47BF003A" w14:textId="77777777" w:rsidR="008614F1" w:rsidRDefault="008614F1" w:rsidP="00A97D07">
      <w:pPr>
        <w:pStyle w:val="CommentText"/>
      </w:pPr>
      <w:r>
        <w:rPr>
          <w:rStyle w:val="CommentReference"/>
        </w:rPr>
        <w:annotationRef/>
      </w:r>
      <w:r>
        <w:rPr>
          <w:lang w:val="en-CA"/>
        </w:rPr>
        <w:t>More should be said about this; the way in which he measures many of the relevant variables is *very* rough; it may look like you're controlling for some confounder Z if you force it into a three-category variable, but that might hide some meaningful variation across cases.</w:t>
      </w:r>
    </w:p>
  </w:comment>
  <w:comment w:id="2" w:author="Olivier Bergeron-Boutin" w:date="2022-01-04T16:53:00Z" w:initials="OB">
    <w:p w14:paraId="519EBA7E" w14:textId="77777777" w:rsidR="007A1369" w:rsidRDefault="007A1369" w:rsidP="00EF0551">
      <w:pPr>
        <w:pStyle w:val="CommentText"/>
      </w:pPr>
      <w:r>
        <w:rPr>
          <w:rStyle w:val="CommentReference"/>
        </w:rPr>
        <w:annotationRef/>
      </w:r>
      <w:r>
        <w:rPr>
          <w:lang w:val="en-CA"/>
        </w:rPr>
        <w:t>Broad comments: this is a fair critique, but you spend a lot of time explaining why Hale did things correctly; I would have spent less time on this and more time on potential drawbacks/extensions.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96D523D" w15:done="0"/>
  <w15:commentEx w15:paraId="47BF003A" w15:done="0"/>
  <w15:commentEx w15:paraId="519EBA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7EF8FD" w16cex:dateUtc="2022-01-04T21:49:00Z"/>
  <w16cex:commentExtensible w16cex:durableId="257EF95C" w16cex:dateUtc="2022-01-04T21:50:00Z"/>
  <w16cex:commentExtensible w16cex:durableId="257EF9FD" w16cex:dateUtc="2022-01-04T21: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96D523D" w16cid:durableId="257EF8FD"/>
  <w16cid:commentId w16cid:paraId="47BF003A" w16cid:durableId="257EF95C"/>
  <w16cid:commentId w16cid:paraId="519EBA7E" w16cid:durableId="257EF9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E1B6E7" w14:textId="77777777" w:rsidR="004D4F36" w:rsidRDefault="004D4F36">
      <w:pPr>
        <w:spacing w:line="240" w:lineRule="auto"/>
      </w:pPr>
      <w:r>
        <w:separator/>
      </w:r>
    </w:p>
  </w:endnote>
  <w:endnote w:type="continuationSeparator" w:id="0">
    <w:p w14:paraId="0DA85C2C" w14:textId="77777777" w:rsidR="004D4F36" w:rsidRDefault="004D4F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28F191" w14:textId="77777777" w:rsidR="004D4F36" w:rsidRDefault="004D4F36">
      <w:pPr>
        <w:spacing w:line="240" w:lineRule="auto"/>
      </w:pPr>
      <w:r>
        <w:separator/>
      </w:r>
    </w:p>
  </w:footnote>
  <w:footnote w:type="continuationSeparator" w:id="0">
    <w:p w14:paraId="4ABB9BAF" w14:textId="77777777" w:rsidR="004D4F36" w:rsidRDefault="004D4F3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19" w14:textId="77777777" w:rsidR="00F5565F" w:rsidRDefault="004D4F36">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Danika G., Leon N., Chloe B., James P.</w:t>
    </w:r>
  </w:p>
  <w:p w14:paraId="0000001A" w14:textId="77777777" w:rsidR="00F5565F" w:rsidRDefault="004D4F36">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POLI 210</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livier Bergeron-Boutin">
    <w15:presenceInfo w15:providerId="Windows Live" w15:userId="3cebe05c134a9e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65F"/>
    <w:rsid w:val="004D4F36"/>
    <w:rsid w:val="007A1369"/>
    <w:rsid w:val="008614F1"/>
    <w:rsid w:val="009C02E1"/>
    <w:rsid w:val="00F5565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09459"/>
  <w15:docId w15:val="{A25DD6C7-AEB1-43CC-BE98-3B7574DDB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9C02E1"/>
    <w:rPr>
      <w:sz w:val="16"/>
      <w:szCs w:val="16"/>
    </w:rPr>
  </w:style>
  <w:style w:type="paragraph" w:styleId="CommentText">
    <w:name w:val="annotation text"/>
    <w:basedOn w:val="Normal"/>
    <w:link w:val="CommentTextChar"/>
    <w:uiPriority w:val="99"/>
    <w:unhideWhenUsed/>
    <w:rsid w:val="009C02E1"/>
    <w:pPr>
      <w:spacing w:line="240" w:lineRule="auto"/>
    </w:pPr>
    <w:rPr>
      <w:sz w:val="20"/>
      <w:szCs w:val="20"/>
    </w:rPr>
  </w:style>
  <w:style w:type="character" w:customStyle="1" w:styleId="CommentTextChar">
    <w:name w:val="Comment Text Char"/>
    <w:basedOn w:val="DefaultParagraphFont"/>
    <w:link w:val="CommentText"/>
    <w:uiPriority w:val="99"/>
    <w:rsid w:val="009C02E1"/>
    <w:rPr>
      <w:sz w:val="20"/>
      <w:szCs w:val="20"/>
    </w:rPr>
  </w:style>
  <w:style w:type="paragraph" w:styleId="CommentSubject">
    <w:name w:val="annotation subject"/>
    <w:basedOn w:val="CommentText"/>
    <w:next w:val="CommentText"/>
    <w:link w:val="CommentSubjectChar"/>
    <w:uiPriority w:val="99"/>
    <w:semiHidden/>
    <w:unhideWhenUsed/>
    <w:rsid w:val="009C02E1"/>
    <w:rPr>
      <w:b/>
      <w:bCs/>
    </w:rPr>
  </w:style>
  <w:style w:type="character" w:customStyle="1" w:styleId="CommentSubjectChar">
    <w:name w:val="Comment Subject Char"/>
    <w:basedOn w:val="CommentTextChar"/>
    <w:link w:val="CommentSubject"/>
    <w:uiPriority w:val="99"/>
    <w:semiHidden/>
    <w:rsid w:val="009C02E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1492</Words>
  <Characters>8511</Characters>
  <Application>Microsoft Office Word</Application>
  <DocSecurity>0</DocSecurity>
  <Lines>70</Lines>
  <Paragraphs>19</Paragraphs>
  <ScaleCrop>false</ScaleCrop>
  <Company/>
  <LinksUpToDate>false</LinksUpToDate>
  <CharactersWithSpaces>9984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Olivier Bergeron-Boutin</cp:lastModifiedBy>
  <cp:revision>4</cp:revision>
  <dcterms:created xsi:type="dcterms:W3CDTF">2022-01-04T21:46:00Z</dcterms:created>
  <dcterms:modified xsi:type="dcterms:W3CDTF">2022-01-04T21:53:00Z</dcterms:modified>
</cp:coreProperties>
</file>