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5E2FC3" w14:textId="77777777" w:rsidR="00852A8B" w:rsidRPr="00852A8B" w:rsidRDefault="00852A8B" w:rsidP="002014F6">
      <w:pPr>
        <w:widowControl/>
        <w:wordWrap/>
        <w:autoSpaceDE/>
        <w:autoSpaceDN/>
        <w:spacing w:after="0" w:line="480" w:lineRule="auto"/>
        <w:jc w:val="center"/>
        <w:rPr>
          <w:rFonts w:ascii="Gulim" w:eastAsia="Gulim" w:hAnsi="Gulim" w:cs="Gulim"/>
          <w:kern w:val="0"/>
          <w:sz w:val="24"/>
          <w:szCs w:val="24"/>
        </w:rPr>
      </w:pPr>
      <w:r w:rsidRPr="00852A8B">
        <w:rPr>
          <w:rFonts w:ascii="Times New Roman" w:eastAsia="Gulim" w:hAnsi="Times New Roman" w:cs="Times New Roman"/>
          <w:b/>
          <w:bCs/>
          <w:color w:val="000000"/>
          <w:kern w:val="0"/>
          <w:sz w:val="24"/>
          <w:szCs w:val="24"/>
        </w:rPr>
        <w:t>Analysis of Conceptual Models and the Cuban Missile Crisis</w:t>
      </w:r>
    </w:p>
    <w:p w14:paraId="4C5B01B6" w14:textId="77777777" w:rsidR="00852A8B" w:rsidRPr="00852A8B" w:rsidRDefault="00852A8B" w:rsidP="002014F6">
      <w:pPr>
        <w:widowControl/>
        <w:wordWrap/>
        <w:autoSpaceDE/>
        <w:autoSpaceDN/>
        <w:spacing w:after="0" w:line="480" w:lineRule="auto"/>
        <w:jc w:val="left"/>
        <w:rPr>
          <w:rFonts w:ascii="Gulim" w:eastAsia="Gulim" w:hAnsi="Gulim" w:cs="Gulim"/>
          <w:kern w:val="0"/>
          <w:sz w:val="24"/>
          <w:szCs w:val="24"/>
        </w:rPr>
      </w:pPr>
    </w:p>
    <w:p w14:paraId="5A5D93F5" w14:textId="77777777" w:rsidR="00852A8B" w:rsidRPr="00852A8B" w:rsidRDefault="00852A8B" w:rsidP="002014F6">
      <w:pPr>
        <w:widowControl/>
        <w:wordWrap/>
        <w:autoSpaceDE/>
        <w:autoSpaceDN/>
        <w:spacing w:after="0" w:line="480" w:lineRule="auto"/>
        <w:jc w:val="center"/>
        <w:rPr>
          <w:rFonts w:ascii="Gulim" w:eastAsia="Gulim" w:hAnsi="Gulim" w:cs="Gulim"/>
          <w:kern w:val="0"/>
          <w:sz w:val="24"/>
          <w:szCs w:val="24"/>
        </w:rPr>
      </w:pPr>
      <w:r w:rsidRPr="00852A8B">
        <w:rPr>
          <w:rFonts w:ascii="Times New Roman" w:eastAsia="Gulim" w:hAnsi="Times New Roman" w:cs="Times New Roman"/>
          <w:color w:val="000000"/>
          <w:kern w:val="0"/>
          <w:sz w:val="24"/>
          <w:szCs w:val="24"/>
        </w:rPr>
        <w:t xml:space="preserve">Yun Lee, Ethan Churchill, and Clara </w:t>
      </w:r>
      <w:proofErr w:type="spellStart"/>
      <w:r w:rsidRPr="00852A8B">
        <w:rPr>
          <w:rFonts w:ascii="Times New Roman" w:eastAsia="Gulim" w:hAnsi="Times New Roman" w:cs="Times New Roman"/>
          <w:color w:val="000000"/>
          <w:kern w:val="0"/>
          <w:sz w:val="24"/>
          <w:szCs w:val="24"/>
        </w:rPr>
        <w:t>Desfossés</w:t>
      </w:r>
      <w:proofErr w:type="spellEnd"/>
    </w:p>
    <w:p w14:paraId="53020CF9" w14:textId="77777777" w:rsidR="00852A8B" w:rsidRPr="00852A8B" w:rsidRDefault="00852A8B" w:rsidP="002014F6">
      <w:pPr>
        <w:widowControl/>
        <w:wordWrap/>
        <w:autoSpaceDE/>
        <w:autoSpaceDN/>
        <w:spacing w:after="0" w:line="480" w:lineRule="auto"/>
        <w:jc w:val="center"/>
        <w:rPr>
          <w:rFonts w:ascii="Gulim" w:eastAsia="Gulim" w:hAnsi="Gulim" w:cs="Gulim"/>
          <w:kern w:val="0"/>
          <w:sz w:val="24"/>
          <w:szCs w:val="24"/>
        </w:rPr>
      </w:pPr>
      <w:r w:rsidRPr="00852A8B">
        <w:rPr>
          <w:rFonts w:ascii="Times New Roman" w:eastAsia="Gulim" w:hAnsi="Times New Roman" w:cs="Times New Roman"/>
          <w:color w:val="000000"/>
          <w:kern w:val="0"/>
          <w:sz w:val="24"/>
          <w:szCs w:val="24"/>
        </w:rPr>
        <w:t>Department of Political Science, McGill University</w:t>
      </w:r>
    </w:p>
    <w:p w14:paraId="10B886AD" w14:textId="77777777" w:rsidR="00852A8B" w:rsidRPr="00852A8B" w:rsidRDefault="00852A8B" w:rsidP="002014F6">
      <w:pPr>
        <w:widowControl/>
        <w:wordWrap/>
        <w:autoSpaceDE/>
        <w:autoSpaceDN/>
        <w:spacing w:after="0" w:line="480" w:lineRule="auto"/>
        <w:jc w:val="center"/>
        <w:rPr>
          <w:rFonts w:ascii="Gulim" w:eastAsia="Gulim" w:hAnsi="Gulim" w:cs="Gulim"/>
          <w:kern w:val="0"/>
          <w:sz w:val="24"/>
          <w:szCs w:val="24"/>
        </w:rPr>
      </w:pPr>
      <w:r w:rsidRPr="00852A8B">
        <w:rPr>
          <w:rFonts w:ascii="Times New Roman" w:eastAsia="Gulim" w:hAnsi="Times New Roman" w:cs="Times New Roman"/>
          <w:color w:val="000000"/>
          <w:kern w:val="0"/>
          <w:sz w:val="24"/>
          <w:szCs w:val="24"/>
        </w:rPr>
        <w:t xml:space="preserve">POLI - 210 - </w:t>
      </w:r>
      <w:proofErr w:type="gramStart"/>
      <w:r w:rsidRPr="00852A8B">
        <w:rPr>
          <w:rFonts w:ascii="Times New Roman" w:eastAsia="Gulim" w:hAnsi="Times New Roman" w:cs="Times New Roman"/>
          <w:color w:val="000000"/>
          <w:kern w:val="0"/>
          <w:sz w:val="24"/>
          <w:szCs w:val="24"/>
        </w:rPr>
        <w:t>001 :</w:t>
      </w:r>
      <w:proofErr w:type="gramEnd"/>
      <w:r w:rsidRPr="00852A8B">
        <w:rPr>
          <w:rFonts w:ascii="Times New Roman" w:eastAsia="Gulim" w:hAnsi="Times New Roman" w:cs="Times New Roman"/>
          <w:color w:val="000000"/>
          <w:kern w:val="0"/>
          <w:sz w:val="24"/>
          <w:szCs w:val="24"/>
        </w:rPr>
        <w:t xml:space="preserve"> Political Science Research Methods</w:t>
      </w:r>
    </w:p>
    <w:p w14:paraId="121342A3" w14:textId="77777777" w:rsidR="00852A8B" w:rsidRPr="00852A8B" w:rsidRDefault="00852A8B" w:rsidP="002014F6">
      <w:pPr>
        <w:widowControl/>
        <w:wordWrap/>
        <w:autoSpaceDE/>
        <w:autoSpaceDN/>
        <w:spacing w:after="0" w:line="480" w:lineRule="auto"/>
        <w:jc w:val="center"/>
        <w:rPr>
          <w:rFonts w:ascii="Gulim" w:eastAsia="Gulim" w:hAnsi="Gulim" w:cs="Gulim"/>
          <w:kern w:val="0"/>
          <w:sz w:val="24"/>
          <w:szCs w:val="24"/>
        </w:rPr>
      </w:pPr>
      <w:r w:rsidRPr="00852A8B">
        <w:rPr>
          <w:rFonts w:ascii="Times New Roman" w:eastAsia="Gulim" w:hAnsi="Times New Roman" w:cs="Times New Roman"/>
          <w:color w:val="000000"/>
          <w:kern w:val="0"/>
          <w:sz w:val="24"/>
          <w:szCs w:val="24"/>
        </w:rPr>
        <w:t>December 6, 2021</w:t>
      </w:r>
    </w:p>
    <w:p w14:paraId="07F02C01" w14:textId="77777777" w:rsidR="00852A8B" w:rsidRPr="00852A8B" w:rsidRDefault="00852A8B" w:rsidP="002014F6">
      <w:pPr>
        <w:widowControl/>
        <w:wordWrap/>
        <w:autoSpaceDE/>
        <w:autoSpaceDN/>
        <w:spacing w:after="240" w:line="480" w:lineRule="auto"/>
        <w:jc w:val="left"/>
        <w:rPr>
          <w:rFonts w:ascii="Gulim" w:eastAsia="Gulim" w:hAnsi="Gulim" w:cs="Gulim"/>
          <w:kern w:val="0"/>
          <w:sz w:val="24"/>
          <w:szCs w:val="24"/>
        </w:rPr>
      </w:pPr>
      <w:r w:rsidRPr="00852A8B">
        <w:rPr>
          <w:rFonts w:ascii="Gulim" w:eastAsia="Gulim" w:hAnsi="Gulim" w:cs="Gulim"/>
          <w:kern w:val="0"/>
          <w:sz w:val="24"/>
          <w:szCs w:val="24"/>
        </w:rPr>
        <w:br/>
      </w:r>
      <w:r w:rsidRPr="00852A8B">
        <w:rPr>
          <w:rFonts w:ascii="Gulim" w:eastAsia="Gulim" w:hAnsi="Gulim" w:cs="Gulim"/>
          <w:kern w:val="0"/>
          <w:sz w:val="24"/>
          <w:szCs w:val="24"/>
        </w:rPr>
        <w:br/>
      </w:r>
      <w:r w:rsidRPr="00852A8B">
        <w:rPr>
          <w:rFonts w:ascii="Gulim" w:eastAsia="Gulim" w:hAnsi="Gulim" w:cs="Gulim"/>
          <w:kern w:val="0"/>
          <w:sz w:val="24"/>
          <w:szCs w:val="24"/>
        </w:rPr>
        <w:br/>
      </w:r>
      <w:r w:rsidRPr="00852A8B">
        <w:rPr>
          <w:rFonts w:ascii="Gulim" w:eastAsia="Gulim" w:hAnsi="Gulim" w:cs="Gulim"/>
          <w:kern w:val="0"/>
          <w:sz w:val="24"/>
          <w:szCs w:val="24"/>
        </w:rPr>
        <w:br/>
      </w:r>
      <w:r w:rsidRPr="00852A8B">
        <w:rPr>
          <w:rFonts w:ascii="Gulim" w:eastAsia="Gulim" w:hAnsi="Gulim" w:cs="Gulim"/>
          <w:kern w:val="0"/>
          <w:sz w:val="24"/>
          <w:szCs w:val="24"/>
        </w:rPr>
        <w:br/>
      </w:r>
      <w:r w:rsidRPr="00852A8B">
        <w:rPr>
          <w:rFonts w:ascii="Gulim" w:eastAsia="Gulim" w:hAnsi="Gulim" w:cs="Gulim"/>
          <w:kern w:val="0"/>
          <w:sz w:val="24"/>
          <w:szCs w:val="24"/>
        </w:rPr>
        <w:br/>
      </w:r>
      <w:r w:rsidRPr="00852A8B">
        <w:rPr>
          <w:rFonts w:ascii="Gulim" w:eastAsia="Gulim" w:hAnsi="Gulim" w:cs="Gulim"/>
          <w:kern w:val="0"/>
          <w:sz w:val="24"/>
          <w:szCs w:val="24"/>
        </w:rPr>
        <w:br/>
      </w:r>
      <w:r w:rsidRPr="00852A8B">
        <w:rPr>
          <w:rFonts w:ascii="Gulim" w:eastAsia="Gulim" w:hAnsi="Gulim" w:cs="Gulim"/>
          <w:kern w:val="0"/>
          <w:sz w:val="24"/>
          <w:szCs w:val="24"/>
        </w:rPr>
        <w:br/>
      </w:r>
      <w:r w:rsidRPr="00852A8B">
        <w:rPr>
          <w:rFonts w:ascii="Gulim" w:eastAsia="Gulim" w:hAnsi="Gulim" w:cs="Gulim"/>
          <w:kern w:val="0"/>
          <w:sz w:val="24"/>
          <w:szCs w:val="24"/>
        </w:rPr>
        <w:br/>
      </w:r>
      <w:r w:rsidRPr="00852A8B">
        <w:rPr>
          <w:rFonts w:ascii="Gulim" w:eastAsia="Gulim" w:hAnsi="Gulim" w:cs="Gulim"/>
          <w:kern w:val="0"/>
          <w:sz w:val="24"/>
          <w:szCs w:val="24"/>
        </w:rPr>
        <w:br/>
      </w:r>
      <w:r w:rsidRPr="00852A8B">
        <w:rPr>
          <w:rFonts w:ascii="Gulim" w:eastAsia="Gulim" w:hAnsi="Gulim" w:cs="Gulim"/>
          <w:kern w:val="0"/>
          <w:sz w:val="24"/>
          <w:szCs w:val="24"/>
        </w:rPr>
        <w:br/>
      </w:r>
      <w:r w:rsidRPr="00852A8B">
        <w:rPr>
          <w:rFonts w:ascii="Gulim" w:eastAsia="Gulim" w:hAnsi="Gulim" w:cs="Gulim"/>
          <w:kern w:val="0"/>
          <w:sz w:val="24"/>
          <w:szCs w:val="24"/>
        </w:rPr>
        <w:br/>
      </w:r>
      <w:r w:rsidRPr="00852A8B">
        <w:rPr>
          <w:rFonts w:ascii="Gulim" w:eastAsia="Gulim" w:hAnsi="Gulim" w:cs="Gulim"/>
          <w:kern w:val="0"/>
          <w:sz w:val="24"/>
          <w:szCs w:val="24"/>
        </w:rPr>
        <w:br/>
      </w:r>
      <w:r w:rsidRPr="00852A8B">
        <w:rPr>
          <w:rFonts w:ascii="Gulim" w:eastAsia="Gulim" w:hAnsi="Gulim" w:cs="Gulim"/>
          <w:kern w:val="0"/>
          <w:sz w:val="24"/>
          <w:szCs w:val="24"/>
        </w:rPr>
        <w:br/>
      </w:r>
      <w:r w:rsidRPr="00852A8B">
        <w:rPr>
          <w:rFonts w:ascii="Gulim" w:eastAsia="Gulim" w:hAnsi="Gulim" w:cs="Gulim"/>
          <w:kern w:val="0"/>
          <w:sz w:val="24"/>
          <w:szCs w:val="24"/>
        </w:rPr>
        <w:br/>
      </w:r>
      <w:r w:rsidRPr="00852A8B">
        <w:rPr>
          <w:rFonts w:ascii="Gulim" w:eastAsia="Gulim" w:hAnsi="Gulim" w:cs="Gulim"/>
          <w:kern w:val="0"/>
          <w:sz w:val="24"/>
          <w:szCs w:val="24"/>
        </w:rPr>
        <w:br/>
      </w:r>
    </w:p>
    <w:p w14:paraId="23D4CC1A" w14:textId="77777777" w:rsidR="00852A8B" w:rsidRPr="00852A8B" w:rsidRDefault="00852A8B" w:rsidP="002014F6">
      <w:pPr>
        <w:widowControl/>
        <w:wordWrap/>
        <w:autoSpaceDE/>
        <w:autoSpaceDN/>
        <w:spacing w:after="0" w:line="480" w:lineRule="auto"/>
        <w:ind w:firstLine="720"/>
        <w:jc w:val="left"/>
        <w:rPr>
          <w:rFonts w:ascii="Gulim" w:eastAsia="Gulim" w:hAnsi="Gulim" w:cs="Gulim"/>
          <w:kern w:val="0"/>
          <w:sz w:val="24"/>
          <w:szCs w:val="24"/>
        </w:rPr>
      </w:pPr>
      <w:r w:rsidRPr="00852A8B">
        <w:rPr>
          <w:rFonts w:ascii="Times New Roman" w:eastAsia="Gulim" w:hAnsi="Times New Roman" w:cs="Times New Roman"/>
          <w:color w:val="000000"/>
          <w:kern w:val="0"/>
          <w:sz w:val="24"/>
          <w:szCs w:val="24"/>
        </w:rPr>
        <w:lastRenderedPageBreak/>
        <w:t xml:space="preserve">The following paper aims to review the article “Conceptual Models and the Cuban Missile Crisis” written by Graham T. Allison in 1969. The article directs to examine different conceptual methods of analysis surrounding the Cuban Missile Crisis of 1962. Allison outlines </w:t>
      </w:r>
      <w:proofErr w:type="gramStart"/>
      <w:r w:rsidRPr="00852A8B">
        <w:rPr>
          <w:rFonts w:ascii="Times New Roman" w:eastAsia="Gulim" w:hAnsi="Times New Roman" w:cs="Times New Roman"/>
          <w:color w:val="000000"/>
          <w:kern w:val="0"/>
          <w:sz w:val="24"/>
          <w:szCs w:val="24"/>
        </w:rPr>
        <w:t>that analysts</w:t>
      </w:r>
      <w:proofErr w:type="gramEnd"/>
      <w:r w:rsidRPr="00852A8B">
        <w:rPr>
          <w:rFonts w:ascii="Times New Roman" w:eastAsia="Gulim" w:hAnsi="Times New Roman" w:cs="Times New Roman"/>
          <w:color w:val="000000"/>
          <w:kern w:val="0"/>
          <w:sz w:val="24"/>
          <w:szCs w:val="24"/>
        </w:rPr>
        <w:t xml:space="preserve"> approach problems of government behavior primarily by asking and answering a set of questions, which may guide the basic thought processes of employing different models or theories to explain government affairs. The questions consist of what happened, why the event occurred, and what will happen in the future. Allison, using these basic questions, establishes three different models/theories of analysis to the Cuban Missile Crisis to describe the government’s behaviors. The first model is a </w:t>
      </w:r>
      <w:r w:rsidRPr="00852A8B">
        <w:rPr>
          <w:rFonts w:ascii="Times New Roman" w:eastAsia="Gulim" w:hAnsi="Times New Roman" w:cs="Times New Roman"/>
          <w:i/>
          <w:iCs/>
          <w:color w:val="000000"/>
          <w:kern w:val="0"/>
          <w:sz w:val="24"/>
          <w:szCs w:val="24"/>
        </w:rPr>
        <w:t xml:space="preserve">rational policy model </w:t>
      </w:r>
      <w:r w:rsidRPr="00852A8B">
        <w:rPr>
          <w:rFonts w:ascii="Times New Roman" w:eastAsia="Gulim" w:hAnsi="Times New Roman" w:cs="Times New Roman"/>
          <w:color w:val="000000"/>
          <w:kern w:val="0"/>
          <w:sz w:val="24"/>
          <w:szCs w:val="24"/>
        </w:rPr>
        <w:t xml:space="preserve">which sees the government as a single entity and attempts to explain the decisions as to the best strategic option of all. Here, the government entity performs actions as a reaction to important events. The next model, known as the </w:t>
      </w:r>
      <w:r w:rsidRPr="00852A8B">
        <w:rPr>
          <w:rFonts w:ascii="Times New Roman" w:eastAsia="Gulim" w:hAnsi="Times New Roman" w:cs="Times New Roman"/>
          <w:i/>
          <w:iCs/>
          <w:color w:val="000000"/>
          <w:kern w:val="0"/>
          <w:sz w:val="24"/>
          <w:szCs w:val="24"/>
        </w:rPr>
        <w:t>organizational process model</w:t>
      </w:r>
      <w:r w:rsidRPr="00852A8B">
        <w:rPr>
          <w:rFonts w:ascii="Times New Roman" w:eastAsia="Gulim" w:hAnsi="Times New Roman" w:cs="Times New Roman"/>
          <w:color w:val="000000"/>
          <w:kern w:val="0"/>
          <w:sz w:val="24"/>
          <w:szCs w:val="24"/>
        </w:rPr>
        <w:t xml:space="preserve">, perceives the government as loosely allied organizations, each carrying its purposes and drives. The second model utilizes those particular purposes and drives to describe the government’s behavior. The last model is a </w:t>
      </w:r>
      <w:r w:rsidRPr="00852A8B">
        <w:rPr>
          <w:rFonts w:ascii="Times New Roman" w:eastAsia="Gulim" w:hAnsi="Times New Roman" w:cs="Times New Roman"/>
          <w:i/>
          <w:iCs/>
          <w:color w:val="000000"/>
          <w:kern w:val="0"/>
          <w:sz w:val="24"/>
          <w:szCs w:val="24"/>
        </w:rPr>
        <w:t>bureaucratic model</w:t>
      </w:r>
      <w:r w:rsidRPr="00852A8B">
        <w:rPr>
          <w:rFonts w:ascii="Times New Roman" w:eastAsia="Gulim" w:hAnsi="Times New Roman" w:cs="Times New Roman"/>
          <w:color w:val="000000"/>
          <w:kern w:val="0"/>
          <w:sz w:val="24"/>
          <w:szCs w:val="24"/>
        </w:rPr>
        <w:t xml:space="preserve"> which illustrates government </w:t>
      </w:r>
      <w:proofErr w:type="spellStart"/>
      <w:r w:rsidRPr="00852A8B">
        <w:rPr>
          <w:rFonts w:ascii="Times New Roman" w:eastAsia="Gulim" w:hAnsi="Times New Roman" w:cs="Times New Roman"/>
          <w:color w:val="000000"/>
          <w:kern w:val="0"/>
          <w:sz w:val="24"/>
          <w:szCs w:val="24"/>
        </w:rPr>
        <w:t>behaviour</w:t>
      </w:r>
      <w:proofErr w:type="spellEnd"/>
      <w:r w:rsidRPr="00852A8B">
        <w:rPr>
          <w:rFonts w:ascii="Times New Roman" w:eastAsia="Gulim" w:hAnsi="Times New Roman" w:cs="Times New Roman"/>
          <w:color w:val="000000"/>
          <w:kern w:val="0"/>
          <w:sz w:val="24"/>
          <w:szCs w:val="24"/>
        </w:rPr>
        <w:t xml:space="preserve"> as a function of key players and roles in the government all influencing one another towards their individual goals. Allison specifically analyzes how each model can access the incidents of the Crisis and compares them to single out the best. He convinces that the models do not necessarily have to counter each other but work in tandem. He also demonstrates the work that is required to be accomplished to refine the theories to describe, in advance, the government’s behavior in foreign affairs.</w:t>
      </w:r>
    </w:p>
    <w:p w14:paraId="35A6BB97" w14:textId="77777777" w:rsidR="00852A8B" w:rsidRPr="00852A8B" w:rsidRDefault="00852A8B" w:rsidP="002014F6">
      <w:pPr>
        <w:widowControl/>
        <w:wordWrap/>
        <w:autoSpaceDE/>
        <w:autoSpaceDN/>
        <w:spacing w:after="0" w:line="480" w:lineRule="auto"/>
        <w:jc w:val="left"/>
        <w:rPr>
          <w:rFonts w:ascii="Gulim" w:eastAsia="Gulim" w:hAnsi="Gulim" w:cs="Gulim"/>
          <w:kern w:val="0"/>
          <w:sz w:val="24"/>
          <w:szCs w:val="24"/>
        </w:rPr>
      </w:pPr>
    </w:p>
    <w:p w14:paraId="587767E5" w14:textId="77777777" w:rsidR="00852A8B" w:rsidRPr="00852A8B" w:rsidRDefault="00852A8B" w:rsidP="002014F6">
      <w:pPr>
        <w:widowControl/>
        <w:wordWrap/>
        <w:autoSpaceDE/>
        <w:autoSpaceDN/>
        <w:spacing w:after="0" w:line="480" w:lineRule="auto"/>
        <w:ind w:firstLine="720"/>
        <w:jc w:val="left"/>
        <w:rPr>
          <w:rFonts w:ascii="Gulim" w:eastAsia="Gulim" w:hAnsi="Gulim" w:cs="Gulim"/>
          <w:kern w:val="0"/>
          <w:sz w:val="24"/>
          <w:szCs w:val="24"/>
        </w:rPr>
      </w:pPr>
      <w:r w:rsidRPr="00852A8B">
        <w:rPr>
          <w:rFonts w:ascii="Times New Roman" w:eastAsia="Gulim" w:hAnsi="Times New Roman" w:cs="Times New Roman"/>
          <w:color w:val="000000"/>
          <w:kern w:val="0"/>
          <w:sz w:val="24"/>
          <w:szCs w:val="24"/>
        </w:rPr>
        <w:t xml:space="preserve">Allison, though, does not make any causal claim in his work. Instead, he tests his models through the case study of the crisis, focusing on the government’s decision to incite naval blockade. The case study allows verification of a model involving government </w:t>
      </w:r>
      <w:r w:rsidRPr="00852A8B">
        <w:rPr>
          <w:rFonts w:ascii="Times New Roman" w:eastAsia="Gulim" w:hAnsi="Times New Roman" w:cs="Times New Roman"/>
          <w:color w:val="000000"/>
          <w:kern w:val="0"/>
          <w:sz w:val="24"/>
          <w:szCs w:val="24"/>
        </w:rPr>
        <w:lastRenderedPageBreak/>
        <w:t xml:space="preserve">decision-making and foreign policy. If the model can explicitly explain the rationale behind the naval blockade, the model holds true. Allison accomplishes measuring key concepts in relation to the second model, as well as using examples that justify prior government decision-making as a base of its applications. Doing so allows him to litmus test the capabilities in the case of the crisis. He argues that the government might seem to be a whole entity making rational decisions but in fact, it is closer to a collection of individual organizations in which the sum of their outputs influences the collective decision-making of the government. Each organization behaves in a standardized manner and deals with problems within the assigned jurisdiction, through standard operating procedures. One instance could be that the navy has standard procedures of maneuver toward various issues, like threats, on the waters but not in the sky as it is the air force’s jurisdiction. Yet, as organizations only belong to specific sectors and have standard operating procedures to treat matters, their malleability to change at a moment’s notice is extremely limited. Organizations are able to change and update their procedures, however, not without proper incentives or necessities to do so. If phases shift rapidly, they will not be able to follow up as well. Allison also develops his measure of organization a step further and breaks them down into working parts, illustrating how the information to them is limited to what they deal with.  This way, he defines the organizations as a whole, clearly allowing the audience to understand what constitutes an organization and how their </w:t>
      </w:r>
      <w:proofErr w:type="spellStart"/>
      <w:r w:rsidRPr="00852A8B">
        <w:rPr>
          <w:rFonts w:ascii="Times New Roman" w:eastAsia="Gulim" w:hAnsi="Times New Roman" w:cs="Times New Roman"/>
          <w:color w:val="000000"/>
          <w:kern w:val="0"/>
          <w:sz w:val="24"/>
          <w:szCs w:val="24"/>
        </w:rPr>
        <w:t>behaviour</w:t>
      </w:r>
      <w:proofErr w:type="spellEnd"/>
      <w:r w:rsidRPr="00852A8B">
        <w:rPr>
          <w:rFonts w:ascii="Times New Roman" w:eastAsia="Gulim" w:hAnsi="Times New Roman" w:cs="Times New Roman"/>
          <w:color w:val="000000"/>
          <w:kern w:val="0"/>
          <w:sz w:val="24"/>
          <w:szCs w:val="24"/>
        </w:rPr>
        <w:t xml:space="preserve"> affects political decision-making. A comparative methodology is used to draw on the three models - </w:t>
      </w:r>
      <w:r w:rsidRPr="00852A8B">
        <w:rPr>
          <w:rFonts w:ascii="Times New Roman" w:eastAsia="Gulim" w:hAnsi="Times New Roman" w:cs="Times New Roman"/>
          <w:i/>
          <w:iCs/>
          <w:color w:val="000000"/>
          <w:kern w:val="0"/>
          <w:sz w:val="24"/>
          <w:szCs w:val="24"/>
        </w:rPr>
        <w:t>rational policy model, organizational process model, and bureaucratic model</w:t>
      </w:r>
      <w:r w:rsidRPr="00852A8B">
        <w:rPr>
          <w:rFonts w:ascii="Times New Roman" w:eastAsia="Gulim" w:hAnsi="Times New Roman" w:cs="Times New Roman"/>
          <w:color w:val="000000"/>
          <w:kern w:val="0"/>
          <w:sz w:val="24"/>
          <w:szCs w:val="24"/>
        </w:rPr>
        <w:t xml:space="preserve"> - he does not outright justify his use for the methodology but it is inferable. Allison emphasizes at the beginning of his paper that the foreign policy analysis is neither systematic nor powerful in the field of political science as of now (1969). Accordingly, he seeks to encourage the use of his models and demonstrate their power, assuming they hold up, in a case study assessing the way the U.S. government </w:t>
      </w:r>
      <w:r w:rsidRPr="00852A8B">
        <w:rPr>
          <w:rFonts w:ascii="Times New Roman" w:eastAsia="Gulim" w:hAnsi="Times New Roman" w:cs="Times New Roman"/>
          <w:color w:val="000000"/>
          <w:kern w:val="0"/>
          <w:sz w:val="24"/>
          <w:szCs w:val="24"/>
        </w:rPr>
        <w:lastRenderedPageBreak/>
        <w:t xml:space="preserve">handled the crisis. This might not seem to be a fine justification for his methodology, it is tough to come up with a better one when finding a way to test the strength of analysis of the models. An experiment would not be able to be conducted in the given nature of this research, nor would sampling or survey research. The only way to test these models is through case study and comparative testing, exactly what Allison has done in his work. He successfully manages to convey the uncertainty of his paper, stating that further examination and use of the second model are required to confirm its strength. The second model could be indicative of the government’s reason for the naval blockade and describes the conflicts between members of the government who belong to different organizations. This model relies on a lot of information that may not always be available to the audience. Access to the knowledge and forms of each organization is not always given, which limits the inference of interaction between the organizations. Accordingly, Allison is able to state the potential strength of this model, though it is highly dependent on what is known to the public to analyze. To sum up, Allison makes great use of both the case study and comparative method to assess the three models of analysis. His work builds upon the three models as well as compares the strengths and weaknesses of each theory, which analyzes foreign policy. Allison argues that much more work is needed in order to flesh out these models of analysis, and how political scientists still need to overcome the limitations of information to work with models two and three. Despite all this, he has created a foundation for future research on the models, as well as suggesting possibilities of linking the three together to get a full breakdown of government decisions on foreign </w:t>
      </w:r>
      <w:commentRangeStart w:id="0"/>
      <w:r w:rsidRPr="00852A8B">
        <w:rPr>
          <w:rFonts w:ascii="Times New Roman" w:eastAsia="Gulim" w:hAnsi="Times New Roman" w:cs="Times New Roman"/>
          <w:color w:val="000000"/>
          <w:kern w:val="0"/>
          <w:sz w:val="24"/>
          <w:szCs w:val="24"/>
        </w:rPr>
        <w:t>policy</w:t>
      </w:r>
      <w:commentRangeEnd w:id="0"/>
      <w:r w:rsidR="00F67451">
        <w:rPr>
          <w:rStyle w:val="CommentReference"/>
        </w:rPr>
        <w:commentReference w:id="0"/>
      </w:r>
      <w:r w:rsidRPr="00852A8B">
        <w:rPr>
          <w:rFonts w:ascii="Times New Roman" w:eastAsia="Gulim" w:hAnsi="Times New Roman" w:cs="Times New Roman"/>
          <w:color w:val="000000"/>
          <w:kern w:val="0"/>
          <w:sz w:val="24"/>
          <w:szCs w:val="24"/>
        </w:rPr>
        <w:t>.</w:t>
      </w:r>
    </w:p>
    <w:p w14:paraId="77D9A670" w14:textId="77777777" w:rsidR="00852A8B" w:rsidRPr="00852A8B" w:rsidRDefault="00852A8B" w:rsidP="002014F6">
      <w:pPr>
        <w:widowControl/>
        <w:wordWrap/>
        <w:autoSpaceDE/>
        <w:autoSpaceDN/>
        <w:spacing w:after="0" w:line="480" w:lineRule="auto"/>
        <w:jc w:val="left"/>
        <w:rPr>
          <w:rFonts w:ascii="Gulim" w:eastAsia="Gulim" w:hAnsi="Gulim" w:cs="Gulim"/>
          <w:kern w:val="0"/>
          <w:sz w:val="24"/>
          <w:szCs w:val="24"/>
        </w:rPr>
      </w:pPr>
      <w:r w:rsidRPr="00852A8B">
        <w:rPr>
          <w:rFonts w:ascii="Times New Roman" w:eastAsia="Gulim" w:hAnsi="Times New Roman" w:cs="Times New Roman"/>
          <w:color w:val="000000"/>
          <w:kern w:val="0"/>
          <w:sz w:val="24"/>
          <w:szCs w:val="24"/>
        </w:rPr>
        <w:t>(1003 words)</w:t>
      </w:r>
    </w:p>
    <w:p w14:paraId="4CBA974B" w14:textId="77777777" w:rsidR="004C6CD3" w:rsidRDefault="004C6CD3" w:rsidP="002014F6">
      <w:pPr>
        <w:spacing w:line="480" w:lineRule="auto"/>
      </w:pPr>
    </w:p>
    <w:sectPr w:rsidR="004C6CD3">
      <w:pgSz w:w="11906" w:h="16838"/>
      <w:pgMar w:top="1701" w:right="1440" w:bottom="1440" w:left="1440" w:header="851" w:footer="992" w:gutter="0"/>
      <w:cols w:space="425"/>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Olivier Bergeron-Boutin" w:date="2022-01-05T11:32:00Z" w:initials="OB">
    <w:p w14:paraId="18B44C7D" w14:textId="77777777" w:rsidR="00F67451" w:rsidRDefault="00F67451" w:rsidP="00EC0A39">
      <w:pPr>
        <w:pStyle w:val="CommentText"/>
        <w:jc w:val="left"/>
      </w:pPr>
      <w:r>
        <w:rPr>
          <w:rStyle w:val="CommentReference"/>
        </w:rPr>
        <w:annotationRef/>
      </w:r>
      <w:r>
        <w:rPr>
          <w:lang w:val="en-CA"/>
        </w:rPr>
        <w:t>Broad comments: your paper is mostly descriptive, which is not what you were expected to do. You also do not engage with many important scientific/methodological issues that Allison's work raises: the role of parsimony, how we deal with competing theories, case selection and what theoretical failures mean for the future of a theory...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8B44C7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5800045" w16cex:dateUtc="2022-01-05T16: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8B44C7D" w16cid:durableId="2580004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Gulim">
    <w:altName w:val="Gulim"/>
    <w:panose1 w:val="020B0600000101010101"/>
    <w:charset w:val="81"/>
    <w:family w:val="swiss"/>
    <w:pitch w:val="variable"/>
    <w:sig w:usb0="B00002AF" w:usb1="69D77CFB" w:usb2="00000030" w:usb3="00000000" w:csb0="000800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Olivier Bergeron-Boutin">
    <w15:presenceInfo w15:providerId="Windows Live" w15:userId="3cebe05c134a9e8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2A8B"/>
    <w:rsid w:val="002014F6"/>
    <w:rsid w:val="004C6CD3"/>
    <w:rsid w:val="00852A8B"/>
    <w:rsid w:val="00F6745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6CFC3A"/>
  <w15:chartTrackingRefBased/>
  <w15:docId w15:val="{78D4C55E-B7B0-4AD8-A1D0-6AC417061E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wordWrap w:val="0"/>
      <w:autoSpaceDE w:val="0"/>
      <w:autoSpaceDN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52A8B"/>
    <w:pPr>
      <w:widowControl/>
      <w:wordWrap/>
      <w:autoSpaceDE/>
      <w:autoSpaceDN/>
      <w:spacing w:before="100" w:beforeAutospacing="1" w:after="100" w:afterAutospacing="1" w:line="240" w:lineRule="auto"/>
      <w:jc w:val="left"/>
    </w:pPr>
    <w:rPr>
      <w:rFonts w:ascii="Gulim" w:eastAsia="Gulim" w:hAnsi="Gulim" w:cs="Gulim"/>
      <w:kern w:val="0"/>
      <w:sz w:val="24"/>
      <w:szCs w:val="24"/>
    </w:rPr>
  </w:style>
  <w:style w:type="character" w:styleId="CommentReference">
    <w:name w:val="annotation reference"/>
    <w:basedOn w:val="DefaultParagraphFont"/>
    <w:uiPriority w:val="99"/>
    <w:semiHidden/>
    <w:unhideWhenUsed/>
    <w:rsid w:val="00F67451"/>
    <w:rPr>
      <w:sz w:val="16"/>
      <w:szCs w:val="16"/>
    </w:rPr>
  </w:style>
  <w:style w:type="paragraph" w:styleId="CommentText">
    <w:name w:val="annotation text"/>
    <w:basedOn w:val="Normal"/>
    <w:link w:val="CommentTextChar"/>
    <w:uiPriority w:val="99"/>
    <w:unhideWhenUsed/>
    <w:rsid w:val="00F67451"/>
    <w:pPr>
      <w:spacing w:line="240" w:lineRule="auto"/>
    </w:pPr>
    <w:rPr>
      <w:szCs w:val="20"/>
    </w:rPr>
  </w:style>
  <w:style w:type="character" w:customStyle="1" w:styleId="CommentTextChar">
    <w:name w:val="Comment Text Char"/>
    <w:basedOn w:val="DefaultParagraphFont"/>
    <w:link w:val="CommentText"/>
    <w:uiPriority w:val="99"/>
    <w:rsid w:val="00F67451"/>
    <w:rPr>
      <w:szCs w:val="20"/>
    </w:rPr>
  </w:style>
  <w:style w:type="paragraph" w:styleId="CommentSubject">
    <w:name w:val="annotation subject"/>
    <w:basedOn w:val="CommentText"/>
    <w:next w:val="CommentText"/>
    <w:link w:val="CommentSubjectChar"/>
    <w:uiPriority w:val="99"/>
    <w:semiHidden/>
    <w:unhideWhenUsed/>
    <w:rsid w:val="00F67451"/>
    <w:rPr>
      <w:b/>
      <w:bCs/>
    </w:rPr>
  </w:style>
  <w:style w:type="character" w:customStyle="1" w:styleId="CommentSubjectChar">
    <w:name w:val="Comment Subject Char"/>
    <w:basedOn w:val="CommentTextChar"/>
    <w:link w:val="CommentSubject"/>
    <w:uiPriority w:val="99"/>
    <w:semiHidden/>
    <w:rsid w:val="00F67451"/>
    <w:rPr>
      <w:b/>
      <w:bCs/>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26956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969</Words>
  <Characters>5526</Characters>
  <Application>Microsoft Office Word</Application>
  <DocSecurity>0</DocSecurity>
  <Lines>46</Lines>
  <Paragraphs>12</Paragraphs>
  <ScaleCrop>false</ScaleCrop>
  <Company/>
  <LinksUpToDate>false</LinksUpToDate>
  <CharactersWithSpaces>6483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Yun Lee</dc:creator>
  <cp:keywords/>
  <dc:description/>
  <cp:lastModifiedBy>Olivier Bergeron-Boutin</cp:lastModifiedBy>
  <cp:revision>3</cp:revision>
  <dcterms:created xsi:type="dcterms:W3CDTF">2021-12-07T02:34:00Z</dcterms:created>
  <dcterms:modified xsi:type="dcterms:W3CDTF">2022-01-05T16:32:00Z</dcterms:modified>
</cp:coreProperties>
</file>