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31190" w:rsidRDefault="00A83334">
      <w:pPr>
        <w:spacing w:line="480" w:lineRule="auto"/>
        <w:jc w:val="center"/>
        <w:rPr>
          <w:rFonts w:ascii="Times New Roman" w:eastAsia="Times New Roman" w:hAnsi="Times New Roman" w:cs="Times New Roman"/>
          <w:color w:val="3C4043"/>
          <w:sz w:val="24"/>
          <w:szCs w:val="24"/>
          <w:u w:val="single"/>
        </w:rPr>
      </w:pPr>
      <w:r>
        <w:rPr>
          <w:rFonts w:ascii="Times New Roman" w:eastAsia="Times New Roman" w:hAnsi="Times New Roman" w:cs="Times New Roman"/>
          <w:color w:val="3C4043"/>
          <w:sz w:val="24"/>
          <w:szCs w:val="24"/>
          <w:u w:val="single"/>
        </w:rPr>
        <w:t>“The Signs of Deconsolidation”: An Analysis</w:t>
      </w:r>
    </w:p>
    <w:p w14:paraId="00000002" w14:textId="77777777" w:rsidR="00931190" w:rsidRDefault="00A83334">
      <w:pPr>
        <w:spacing w:line="480" w:lineRule="auto"/>
        <w:jc w:val="center"/>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Sonya </w:t>
      </w:r>
      <w:proofErr w:type="spellStart"/>
      <w:r>
        <w:rPr>
          <w:rFonts w:ascii="Times New Roman" w:eastAsia="Times New Roman" w:hAnsi="Times New Roman" w:cs="Times New Roman"/>
          <w:color w:val="3C4043"/>
          <w:sz w:val="24"/>
          <w:szCs w:val="24"/>
        </w:rPr>
        <w:t>Pallapothu</w:t>
      </w:r>
      <w:proofErr w:type="spellEnd"/>
      <w:r>
        <w:rPr>
          <w:rFonts w:ascii="Times New Roman" w:eastAsia="Times New Roman" w:hAnsi="Times New Roman" w:cs="Times New Roman"/>
          <w:color w:val="3C4043"/>
          <w:sz w:val="24"/>
          <w:szCs w:val="24"/>
        </w:rPr>
        <w:t xml:space="preserve">, Neha Sundar, Ethan Shaw, Christopher </w:t>
      </w:r>
      <w:proofErr w:type="spellStart"/>
      <w:r>
        <w:rPr>
          <w:rFonts w:ascii="Times New Roman" w:eastAsia="Times New Roman" w:hAnsi="Times New Roman" w:cs="Times New Roman"/>
          <w:color w:val="3C4043"/>
          <w:sz w:val="24"/>
          <w:szCs w:val="24"/>
        </w:rPr>
        <w:t>Marton</w:t>
      </w:r>
      <w:proofErr w:type="spellEnd"/>
    </w:p>
    <w:p w14:paraId="00000003" w14:textId="77777777" w:rsidR="00931190" w:rsidRDefault="00931190">
      <w:pPr>
        <w:spacing w:line="480" w:lineRule="auto"/>
        <w:jc w:val="center"/>
        <w:rPr>
          <w:rFonts w:ascii="Times New Roman" w:eastAsia="Times New Roman" w:hAnsi="Times New Roman" w:cs="Times New Roman"/>
          <w:b/>
          <w:color w:val="3C4043"/>
          <w:sz w:val="24"/>
          <w:szCs w:val="24"/>
        </w:rPr>
      </w:pPr>
    </w:p>
    <w:p w14:paraId="00000004" w14:textId="77777777" w:rsidR="00931190" w:rsidRDefault="00A83334">
      <w:pPr>
        <w:spacing w:line="480" w:lineRule="auto"/>
        <w:jc w:val="center"/>
        <w:rPr>
          <w:rFonts w:ascii="Times New Roman" w:eastAsia="Times New Roman" w:hAnsi="Times New Roman" w:cs="Times New Roman"/>
          <w:b/>
          <w:color w:val="3C4043"/>
          <w:sz w:val="24"/>
          <w:szCs w:val="24"/>
        </w:rPr>
      </w:pPr>
      <w:r>
        <w:rPr>
          <w:rFonts w:ascii="Times New Roman" w:eastAsia="Times New Roman" w:hAnsi="Times New Roman" w:cs="Times New Roman"/>
          <w:b/>
          <w:color w:val="3C4043"/>
          <w:sz w:val="24"/>
          <w:szCs w:val="24"/>
        </w:rPr>
        <w:t>PART I. INTRODUCTION</w:t>
      </w:r>
    </w:p>
    <w:p w14:paraId="00000005" w14:textId="77777777" w:rsidR="00931190" w:rsidRDefault="00A83334">
      <w:pPr>
        <w:spacing w:line="480" w:lineRule="auto"/>
        <w:ind w:firstLine="72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In </w:t>
      </w:r>
      <w:r>
        <w:rPr>
          <w:rFonts w:ascii="Times New Roman" w:eastAsia="Times New Roman" w:hAnsi="Times New Roman" w:cs="Times New Roman"/>
          <w:i/>
          <w:color w:val="3C4043"/>
          <w:sz w:val="24"/>
          <w:szCs w:val="24"/>
        </w:rPr>
        <w:t>The Signs of Deconsolidation</w:t>
      </w:r>
      <w:r>
        <w:rPr>
          <w:rFonts w:ascii="Times New Roman" w:eastAsia="Times New Roman" w:hAnsi="Times New Roman" w:cs="Times New Roman"/>
          <w:color w:val="3C4043"/>
          <w:sz w:val="24"/>
          <w:szCs w:val="24"/>
        </w:rPr>
        <w:t xml:space="preserve">, co-authors Foa and Mounk describe the current decline in support for </w:t>
      </w:r>
      <w:proofErr w:type="gramStart"/>
      <w:r>
        <w:rPr>
          <w:rFonts w:ascii="Times New Roman" w:eastAsia="Times New Roman" w:hAnsi="Times New Roman" w:cs="Times New Roman"/>
          <w:color w:val="3C4043"/>
          <w:sz w:val="24"/>
          <w:szCs w:val="24"/>
        </w:rPr>
        <w:t>democracy, and</w:t>
      </w:r>
      <w:proofErr w:type="gramEnd"/>
      <w:r>
        <w:rPr>
          <w:rFonts w:ascii="Times New Roman" w:eastAsia="Times New Roman" w:hAnsi="Times New Roman" w:cs="Times New Roman"/>
          <w:color w:val="3C4043"/>
          <w:sz w:val="24"/>
          <w:szCs w:val="24"/>
        </w:rPr>
        <w:t xml:space="preserve"> attribute this phenomenon to the Millennial generation’s lack of interest/approval in democracy. It is noted that while there has been a long-growing dissatisfaction with the political system in the United States, surveys show that young Americans seem more disapproving of the democratic government in comparison to other age demographics. Furthermore, the authors describe how this reflects a global occurrence of young citizens’ declining interest in the democratic system. It is important to recall the assumption of democratic consolidation, which states that once a democracy is established, the political system and liberal democracy cannot be dismantled. However, this article points out many occurrences of political systems that are facing lack of support for democracy. The issue of deconsolidation has been an untouched area of political science, and the authors note that it is an area so barren that political scientists no longer feel the need to explore it. </w:t>
      </w:r>
      <w:r>
        <w:rPr>
          <w:rFonts w:ascii="Times New Roman" w:eastAsia="Times New Roman" w:hAnsi="Times New Roman" w:cs="Times New Roman"/>
          <w:color w:val="3C4043"/>
          <w:sz w:val="24"/>
          <w:szCs w:val="24"/>
          <w:highlight w:val="white"/>
        </w:rPr>
        <w:t>In other words, Foa and Mounk's decision to examine whether there is a decline in support for democracy in the US greatly contributes to this area of study in and of itself.</w:t>
      </w:r>
    </w:p>
    <w:p w14:paraId="00000006" w14:textId="16D4B52F" w:rsidR="00931190" w:rsidRDefault="00A83334">
      <w:pPr>
        <w:spacing w:line="480" w:lineRule="auto"/>
        <w:ind w:firstLine="72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Based on these concepts, Foa and Mounk pose the question “Does democratic deconsolidation hide a dangerous fault line, requiring an early-warning system that might give some notice of an unprecedented democratic regression that could affect even countries in which democracy is now considered unshakable?”. This question is explored through case studies of the political climates in Venezuela and Poland. Specifically, the authors focus on the countries’ </w:t>
      </w:r>
      <w:r>
        <w:rPr>
          <w:rFonts w:ascii="Times New Roman" w:eastAsia="Times New Roman" w:hAnsi="Times New Roman" w:cs="Times New Roman"/>
          <w:color w:val="3C4043"/>
          <w:sz w:val="24"/>
          <w:szCs w:val="24"/>
        </w:rPr>
        <w:lastRenderedPageBreak/>
        <w:t xml:space="preserve">initial rapidly maturing democracy, as Venezuela was once considered a model to other South American countries. However, the 1998 Presidential Election marks a turning point, as democracy in Venezuela has declined severely since Hugo Chávez was elected. Similarly, the consolidated democracy in Poland decreased as citizens in a 2005 survey responded that having a democratic system was a </w:t>
      </w:r>
      <w:r w:rsidR="00757173">
        <w:rPr>
          <w:rFonts w:ascii="Times New Roman" w:eastAsia="Times New Roman" w:hAnsi="Times New Roman" w:cs="Times New Roman"/>
          <w:color w:val="3C4043"/>
          <w:sz w:val="24"/>
          <w:szCs w:val="24"/>
        </w:rPr>
        <w:t>“</w:t>
      </w:r>
      <w:r>
        <w:rPr>
          <w:rFonts w:ascii="Times New Roman" w:eastAsia="Times New Roman" w:hAnsi="Times New Roman" w:cs="Times New Roman"/>
          <w:color w:val="3C4043"/>
          <w:sz w:val="24"/>
          <w:szCs w:val="24"/>
        </w:rPr>
        <w:t>fairly bad</w:t>
      </w:r>
      <w:r w:rsidR="00757173">
        <w:rPr>
          <w:rFonts w:ascii="Times New Roman" w:eastAsia="Times New Roman" w:hAnsi="Times New Roman" w:cs="Times New Roman"/>
          <w:color w:val="3C4043"/>
          <w:sz w:val="24"/>
          <w:szCs w:val="24"/>
        </w:rPr>
        <w:t xml:space="preserve">” </w:t>
      </w:r>
      <w:r>
        <w:rPr>
          <w:rFonts w:ascii="Times New Roman" w:eastAsia="Times New Roman" w:hAnsi="Times New Roman" w:cs="Times New Roman"/>
          <w:color w:val="3C4043"/>
          <w:sz w:val="24"/>
          <w:szCs w:val="24"/>
        </w:rPr>
        <w:t xml:space="preserve">or </w:t>
      </w:r>
      <w:r w:rsidR="00757173">
        <w:rPr>
          <w:rFonts w:ascii="Times New Roman" w:eastAsia="Times New Roman" w:hAnsi="Times New Roman" w:cs="Times New Roman"/>
          <w:color w:val="3C4043"/>
          <w:sz w:val="24"/>
          <w:szCs w:val="24"/>
        </w:rPr>
        <w:t>“</w:t>
      </w:r>
      <w:r>
        <w:rPr>
          <w:rFonts w:ascii="Times New Roman" w:eastAsia="Times New Roman" w:hAnsi="Times New Roman" w:cs="Times New Roman"/>
          <w:color w:val="3C4043"/>
          <w:sz w:val="24"/>
          <w:szCs w:val="24"/>
        </w:rPr>
        <w:t>very bad”</w:t>
      </w:r>
      <w:r w:rsidR="00757173">
        <w:rPr>
          <w:rFonts w:ascii="Times New Roman" w:eastAsia="Times New Roman" w:hAnsi="Times New Roman" w:cs="Times New Roman"/>
          <w:color w:val="3C4043"/>
          <w:sz w:val="24"/>
          <w:szCs w:val="24"/>
        </w:rPr>
        <w:t xml:space="preserve"> </w:t>
      </w:r>
      <w:r>
        <w:rPr>
          <w:rFonts w:ascii="Times New Roman" w:eastAsia="Times New Roman" w:hAnsi="Times New Roman" w:cs="Times New Roman"/>
          <w:color w:val="3C4043"/>
          <w:sz w:val="24"/>
          <w:szCs w:val="24"/>
        </w:rPr>
        <w:t xml:space="preserve">method of government. In this way, both countries illustrate a pattern of deconsolidation occurring in </w:t>
      </w:r>
      <w:proofErr w:type="gramStart"/>
      <w:r>
        <w:rPr>
          <w:rFonts w:ascii="Times New Roman" w:eastAsia="Times New Roman" w:hAnsi="Times New Roman" w:cs="Times New Roman"/>
          <w:color w:val="3C4043"/>
          <w:sz w:val="24"/>
          <w:szCs w:val="24"/>
        </w:rPr>
        <w:t>fairly stable</w:t>
      </w:r>
      <w:proofErr w:type="gramEnd"/>
      <w:r>
        <w:rPr>
          <w:rFonts w:ascii="Times New Roman" w:eastAsia="Times New Roman" w:hAnsi="Times New Roman" w:cs="Times New Roman"/>
          <w:color w:val="3C4043"/>
          <w:sz w:val="24"/>
          <w:szCs w:val="24"/>
        </w:rPr>
        <w:t xml:space="preserve"> and established democracies. As this is a growing global occurrence, Foa and Mounk claim that it would be beneficial to political scientists if they were able to predict the trajectories of these countries’ political systems. Furthermore, they search for what factors can attribute early signs of deconsolidation, as this would be an effective way to prevent deep-rooted discontent and consequent destabilization. </w:t>
      </w:r>
    </w:p>
    <w:p w14:paraId="00000007" w14:textId="77777777" w:rsidR="00931190" w:rsidRDefault="00931190">
      <w:pPr>
        <w:spacing w:line="480" w:lineRule="auto"/>
        <w:ind w:firstLine="720"/>
        <w:rPr>
          <w:rFonts w:ascii="Times New Roman" w:eastAsia="Times New Roman" w:hAnsi="Times New Roman" w:cs="Times New Roman"/>
          <w:color w:val="3C4043"/>
          <w:sz w:val="24"/>
          <w:szCs w:val="24"/>
        </w:rPr>
      </w:pPr>
    </w:p>
    <w:p w14:paraId="00000008" w14:textId="77777777" w:rsidR="00931190" w:rsidRDefault="00A83334">
      <w:pPr>
        <w:spacing w:line="480" w:lineRule="auto"/>
        <w:jc w:val="center"/>
        <w:rPr>
          <w:rFonts w:ascii="Times New Roman" w:eastAsia="Times New Roman" w:hAnsi="Times New Roman" w:cs="Times New Roman"/>
          <w:b/>
          <w:color w:val="3C4043"/>
          <w:sz w:val="24"/>
          <w:szCs w:val="24"/>
        </w:rPr>
      </w:pPr>
      <w:r>
        <w:rPr>
          <w:rFonts w:ascii="Times New Roman" w:eastAsia="Times New Roman" w:hAnsi="Times New Roman" w:cs="Times New Roman"/>
          <w:b/>
          <w:color w:val="3C4043"/>
          <w:sz w:val="24"/>
          <w:szCs w:val="24"/>
        </w:rPr>
        <w:t>PART II. ANALYSIS</w:t>
      </w:r>
    </w:p>
    <w:p w14:paraId="00000009" w14:textId="77777777" w:rsidR="00931190" w:rsidRDefault="00A83334">
      <w:pPr>
        <w:spacing w:line="480" w:lineRule="auto"/>
        <w:jc w:val="center"/>
        <w:rPr>
          <w:rFonts w:ascii="Times New Roman" w:eastAsia="Times New Roman" w:hAnsi="Times New Roman" w:cs="Times New Roman"/>
          <w:color w:val="3C4043"/>
          <w:sz w:val="24"/>
          <w:szCs w:val="24"/>
        </w:rPr>
      </w:pPr>
      <w:r>
        <w:rPr>
          <w:rFonts w:ascii="Times New Roman" w:eastAsia="Times New Roman" w:hAnsi="Times New Roman" w:cs="Times New Roman"/>
          <w:b/>
          <w:i/>
          <w:color w:val="3C4043"/>
          <w:sz w:val="24"/>
          <w:szCs w:val="24"/>
        </w:rPr>
        <w:t>Potential Biases in Surveys Conducted in the Case Studies</w:t>
      </w:r>
    </w:p>
    <w:p w14:paraId="0000000A" w14:textId="77777777" w:rsidR="00931190" w:rsidRDefault="00A83334">
      <w:pPr>
        <w:spacing w:line="480" w:lineRule="auto"/>
        <w:ind w:firstLine="72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Although Foa and Mounk did not conduct the surveys within the case studies that they utilized for this article, they do not convey the potential biases and uncertainty that the surveys may have. For example, the authors mention that in Poland, 15.7% of respondents expressed that “‘having a democratic political system’ was a ‘fairly bad’ or ‘very bad’ way of running the country” in 2005. As convincing as these results may seem at first glance, the authors do not properly cover the methodologies that the original surveyors used to collect these statistics. From this article alone, there is no way to tell if the sample surveyed was representative, if the respondents were weighted to account for non-response bias, and if the sampling frame that was used was complete. Another drawback is that we have no information about whether there was </w:t>
      </w:r>
      <w:r>
        <w:rPr>
          <w:rFonts w:ascii="Times New Roman" w:eastAsia="Times New Roman" w:hAnsi="Times New Roman" w:cs="Times New Roman"/>
          <w:color w:val="3C4043"/>
          <w:sz w:val="24"/>
          <w:szCs w:val="24"/>
        </w:rPr>
        <w:lastRenderedPageBreak/>
        <w:t xml:space="preserve">any selection bias that affected the external validity of the study, or not. Additionally, the survey itself could have been formatted in a way that causes bias through the phrasing and ordering of the questions. For example, we cannot determine if there were any leading or double-barreled questions that influenced the responses in a written/online survey. Following this thought, the authors neglect to mention which methods were used to collect the survey responses; were these surveys conducted as face-to-face interviews, phone interviews, or written/online surveys? If the method was a face-to-face or phone interview, did the surveyors account for the interviewer effect or social undesirability bias? This lack of transparency from the authors regarding how the surveys were conducted makes it difficult to be convinced </w:t>
      </w:r>
      <w:proofErr w:type="gramStart"/>
      <w:r>
        <w:rPr>
          <w:rFonts w:ascii="Times New Roman" w:eastAsia="Times New Roman" w:hAnsi="Times New Roman" w:cs="Times New Roman"/>
          <w:color w:val="3C4043"/>
          <w:sz w:val="24"/>
          <w:szCs w:val="24"/>
        </w:rPr>
        <w:t>by the use of</w:t>
      </w:r>
      <w:proofErr w:type="gramEnd"/>
      <w:r>
        <w:rPr>
          <w:rFonts w:ascii="Times New Roman" w:eastAsia="Times New Roman" w:hAnsi="Times New Roman" w:cs="Times New Roman"/>
          <w:color w:val="3C4043"/>
          <w:sz w:val="24"/>
          <w:szCs w:val="24"/>
        </w:rPr>
        <w:t xml:space="preserve"> the case studies as support for the authors’ </w:t>
      </w:r>
      <w:commentRangeStart w:id="0"/>
      <w:r>
        <w:rPr>
          <w:rFonts w:ascii="Times New Roman" w:eastAsia="Times New Roman" w:hAnsi="Times New Roman" w:cs="Times New Roman"/>
          <w:color w:val="3C4043"/>
          <w:sz w:val="24"/>
          <w:szCs w:val="24"/>
        </w:rPr>
        <w:t>arguments</w:t>
      </w:r>
      <w:commentRangeEnd w:id="0"/>
      <w:r w:rsidR="001401C8">
        <w:rPr>
          <w:rStyle w:val="CommentReference"/>
        </w:rPr>
        <w:commentReference w:id="0"/>
      </w:r>
      <w:r>
        <w:rPr>
          <w:rFonts w:ascii="Times New Roman" w:eastAsia="Times New Roman" w:hAnsi="Times New Roman" w:cs="Times New Roman"/>
          <w:color w:val="3C4043"/>
          <w:sz w:val="24"/>
          <w:szCs w:val="24"/>
        </w:rPr>
        <w:t>.</w:t>
      </w:r>
    </w:p>
    <w:p w14:paraId="0000000B" w14:textId="77777777" w:rsidR="00931190" w:rsidRDefault="00A83334">
      <w:pPr>
        <w:spacing w:line="480" w:lineRule="auto"/>
        <w:jc w:val="center"/>
        <w:rPr>
          <w:rFonts w:ascii="Times New Roman" w:eastAsia="Times New Roman" w:hAnsi="Times New Roman" w:cs="Times New Roman"/>
          <w:color w:val="3C4043"/>
          <w:sz w:val="24"/>
          <w:szCs w:val="24"/>
        </w:rPr>
      </w:pPr>
      <w:r>
        <w:rPr>
          <w:rFonts w:ascii="Times New Roman" w:eastAsia="Times New Roman" w:hAnsi="Times New Roman" w:cs="Times New Roman"/>
          <w:b/>
          <w:i/>
          <w:color w:val="3C4043"/>
          <w:sz w:val="24"/>
          <w:szCs w:val="24"/>
        </w:rPr>
        <w:t>Issues with Transparency and Methodology</w:t>
      </w:r>
    </w:p>
    <w:p w14:paraId="0000000C" w14:textId="77777777" w:rsidR="00931190" w:rsidRDefault="00A83334">
      <w:pPr>
        <w:spacing w:line="480" w:lineRule="auto"/>
        <w:ind w:firstLine="72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Branching off from this critique, transparency is one of the key aspects that Foa and Mounk did not acknowledge when assembling their study. There is no section dedicated to their methodology within this article, which would have built their research’s credibility and made their conclusions more convincing. As well, it would allow others who are part of the political science sphere to provide input on the study based on the authors’ intentions and results. Additionally, the authors do not provide enough justification for using Venezuela’s and Poland’s case studies, and how they were appropriate for explaining how signs of deconsolidation could be an early warning system of disapproval towards institutions of democracy in the US. While reading Foa and Mounk’s study, we asked ourselves: could the cases be generalized to the US? If so, how? In other words, is the US in the scope of these cases’ generalizations? Providing justification of how and why the case studies could compare to the political climate in the US </w:t>
      </w:r>
      <w:r>
        <w:rPr>
          <w:rFonts w:ascii="Times New Roman" w:eastAsia="Times New Roman" w:hAnsi="Times New Roman" w:cs="Times New Roman"/>
          <w:color w:val="3C4043"/>
          <w:sz w:val="24"/>
          <w:szCs w:val="24"/>
        </w:rPr>
        <w:lastRenderedPageBreak/>
        <w:t>would aid in determining whether signs of deconsolidation would suggest “discontent with democratic institutions” in the US.</w:t>
      </w:r>
    </w:p>
    <w:p w14:paraId="0000000D" w14:textId="77777777" w:rsidR="00931190" w:rsidRDefault="00A83334">
      <w:pPr>
        <w:spacing w:line="480" w:lineRule="auto"/>
        <w:ind w:firstLine="72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Unfortunately, another by-product of their lack of transparency is their lack of justification for the selected measurement. Their measurement process involved taking various statistics from surveys and figures that seemed to prove their narrative. In proving a “global rise” in democratic deconsolidation, they selected 2 figures sourced from World Values surveys. One of which is a survey where respondents gave a rating out of 10 based on the essentiality of living in a democratically governed country. This survey drew results from only 6 countries. In the other, survey respondents were asked whether “having a strong leader who does not have to bother with parliament and elections” would be a “fairly good” or “very good” way to “run this country.” The analysis of these 2 figures is a large part of their descriptive argument. The issue with this lies in the fact that this form of measurement fails to </w:t>
      </w:r>
      <w:proofErr w:type="gramStart"/>
      <w:r>
        <w:rPr>
          <w:rFonts w:ascii="Times New Roman" w:eastAsia="Times New Roman" w:hAnsi="Times New Roman" w:cs="Times New Roman"/>
          <w:color w:val="3C4043"/>
          <w:sz w:val="24"/>
          <w:szCs w:val="24"/>
        </w:rPr>
        <w:t>take into account</w:t>
      </w:r>
      <w:proofErr w:type="gramEnd"/>
      <w:r>
        <w:rPr>
          <w:rFonts w:ascii="Times New Roman" w:eastAsia="Times New Roman" w:hAnsi="Times New Roman" w:cs="Times New Roman"/>
          <w:color w:val="3C4043"/>
          <w:sz w:val="24"/>
          <w:szCs w:val="24"/>
        </w:rPr>
        <w:t xml:space="preserve"> any tangible measurement. In lieu of drawing statistics such as the ‘number of anti-democratic parties’ per government, or the ‘increase in autocratic </w:t>
      </w:r>
      <w:proofErr w:type="spellStart"/>
      <w:r>
        <w:rPr>
          <w:rFonts w:ascii="Times New Roman" w:eastAsia="Times New Roman" w:hAnsi="Times New Roman" w:cs="Times New Roman"/>
          <w:color w:val="3C4043"/>
          <w:sz w:val="24"/>
          <w:szCs w:val="24"/>
        </w:rPr>
        <w:t>behaviour</w:t>
      </w:r>
      <w:proofErr w:type="spellEnd"/>
      <w:r>
        <w:rPr>
          <w:rFonts w:ascii="Times New Roman" w:eastAsia="Times New Roman" w:hAnsi="Times New Roman" w:cs="Times New Roman"/>
          <w:color w:val="3C4043"/>
          <w:sz w:val="24"/>
          <w:szCs w:val="24"/>
        </w:rPr>
        <w:t>’</w:t>
      </w:r>
      <w:commentRangeStart w:id="1"/>
      <w:r>
        <w:rPr>
          <w:rFonts w:ascii="Times New Roman" w:eastAsia="Times New Roman" w:hAnsi="Times New Roman" w:cs="Times New Roman"/>
          <w:color w:val="3C4043"/>
          <w:sz w:val="24"/>
          <w:szCs w:val="24"/>
        </w:rPr>
        <w:t xml:space="preserve">, they opted to utilize data that can be largely influenced by the form in which it was delivered </w:t>
      </w:r>
      <w:commentRangeEnd w:id="1"/>
      <w:r w:rsidR="006C7124">
        <w:rPr>
          <w:rStyle w:val="CommentReference"/>
        </w:rPr>
        <w:commentReference w:id="1"/>
      </w:r>
      <w:r>
        <w:rPr>
          <w:rFonts w:ascii="Times New Roman" w:eastAsia="Times New Roman" w:hAnsi="Times New Roman" w:cs="Times New Roman"/>
          <w:color w:val="3C4043"/>
          <w:sz w:val="24"/>
          <w:szCs w:val="24"/>
        </w:rPr>
        <w:t>(which we do not know).</w:t>
      </w:r>
    </w:p>
    <w:p w14:paraId="0000000E" w14:textId="77777777" w:rsidR="00931190" w:rsidRDefault="00A83334">
      <w:pPr>
        <w:spacing w:line="480" w:lineRule="auto"/>
        <w:ind w:firstLine="72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Foa and Mounk’s other measurements for democratic deconsolidation involve two case studies. These case studies were approached in a similar manner. Multiple surveys were assessed to explain a democratic backslide with signs of deconsolidation. Once again due to the lack of evidence, and the overwhelming reliance on survey data, it leads us to doubt the argument that the supposed “public skepticism about the value and performance of democracy” was the cause of the autocratic government. The measurements used to measure democratic deconsolidation failed to remove numerous possible confounding variables that would contribute towards the </w:t>
      </w:r>
      <w:r>
        <w:rPr>
          <w:rFonts w:ascii="Times New Roman" w:eastAsia="Times New Roman" w:hAnsi="Times New Roman" w:cs="Times New Roman"/>
          <w:color w:val="3C4043"/>
          <w:sz w:val="24"/>
          <w:szCs w:val="24"/>
        </w:rPr>
        <w:lastRenderedPageBreak/>
        <w:t>failure of democracy. Although they explain their reasoning for not using the Polity and the Freedom House measures, they fail to find equivalent replacements.</w:t>
      </w:r>
      <w:r>
        <w:rPr>
          <w:rFonts w:ascii="Times New Roman" w:eastAsia="Times New Roman" w:hAnsi="Times New Roman" w:cs="Times New Roman"/>
          <w:color w:val="3C4043"/>
          <w:sz w:val="24"/>
          <w:szCs w:val="24"/>
        </w:rPr>
        <w:tab/>
      </w:r>
      <w:r>
        <w:rPr>
          <w:rFonts w:ascii="Times New Roman" w:eastAsia="Times New Roman" w:hAnsi="Times New Roman" w:cs="Times New Roman"/>
          <w:color w:val="3C4043"/>
          <w:sz w:val="24"/>
          <w:szCs w:val="24"/>
        </w:rPr>
        <w:tab/>
      </w:r>
      <w:r>
        <w:rPr>
          <w:rFonts w:ascii="Times New Roman" w:eastAsia="Times New Roman" w:hAnsi="Times New Roman" w:cs="Times New Roman"/>
          <w:color w:val="3C4043"/>
          <w:sz w:val="24"/>
          <w:szCs w:val="24"/>
        </w:rPr>
        <w:tab/>
      </w:r>
      <w:r>
        <w:rPr>
          <w:rFonts w:ascii="Times New Roman" w:eastAsia="Times New Roman" w:hAnsi="Times New Roman" w:cs="Times New Roman"/>
          <w:color w:val="3C4043"/>
          <w:sz w:val="24"/>
          <w:szCs w:val="24"/>
        </w:rPr>
        <w:tab/>
      </w:r>
    </w:p>
    <w:p w14:paraId="0000000F" w14:textId="77777777" w:rsidR="00931190" w:rsidRDefault="00A83334">
      <w:pPr>
        <w:spacing w:line="480" w:lineRule="auto"/>
        <w:ind w:firstLine="72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​​Another issue with the chosen case studies could be that Foa and Mounk are selecting based on the dependent variable (DV). This is a mistake because when we select for the DV, we see only the cases with the outcome we are interested in. While this may seem like it makes sense, what ends up happening is that you miss many other cases where the independent variables are the same, but a different result occurs. This can leave you with an incomplete idea of your area of study, and lead you to assume that Y causes X, when in fact X only happens in the specific cases you studied. This case is slightly different, as the authors are not making a directly causal argument, but they still assert that based on their studies of Venezuela and Poland, “close attention to the signs of deconsolidation can indeed function as an early warning system” for a democratic backslide. However, as they chose to look at these countries specifically because they experienced a democratic backslide, they could be missing out on a variety of cases in which signs of deconsolidation are present, but a backslide did not occur. This issue turns the strength of the case study method (its narrow focus) into a weakness, as inappropriate methods of selecting case studies can leave you ignorant of the bigger picture. This does not necessarily mean that signs of deconsolidation are not an early warning, just that case studies must be </w:t>
      </w:r>
      <w:commentRangeStart w:id="2"/>
      <w:r>
        <w:rPr>
          <w:rFonts w:ascii="Times New Roman" w:eastAsia="Times New Roman" w:hAnsi="Times New Roman" w:cs="Times New Roman"/>
          <w:color w:val="3C4043"/>
          <w:sz w:val="24"/>
          <w:szCs w:val="24"/>
        </w:rPr>
        <w:t xml:space="preserve">selected better </w:t>
      </w:r>
      <w:commentRangeEnd w:id="2"/>
      <w:r w:rsidR="009C5021">
        <w:rPr>
          <w:rStyle w:val="CommentReference"/>
        </w:rPr>
        <w:commentReference w:id="2"/>
      </w:r>
      <w:proofErr w:type="gramStart"/>
      <w:r>
        <w:rPr>
          <w:rFonts w:ascii="Times New Roman" w:eastAsia="Times New Roman" w:hAnsi="Times New Roman" w:cs="Times New Roman"/>
          <w:color w:val="3C4043"/>
          <w:sz w:val="24"/>
          <w:szCs w:val="24"/>
        </w:rPr>
        <w:t>in order to</w:t>
      </w:r>
      <w:proofErr w:type="gramEnd"/>
      <w:r>
        <w:rPr>
          <w:rFonts w:ascii="Times New Roman" w:eastAsia="Times New Roman" w:hAnsi="Times New Roman" w:cs="Times New Roman"/>
          <w:color w:val="3C4043"/>
          <w:sz w:val="24"/>
          <w:szCs w:val="24"/>
        </w:rPr>
        <w:t xml:space="preserve"> prove that it is.</w:t>
      </w:r>
    </w:p>
    <w:p w14:paraId="00000010" w14:textId="77777777" w:rsidR="00931190" w:rsidRDefault="00931190">
      <w:pPr>
        <w:spacing w:line="480" w:lineRule="auto"/>
        <w:rPr>
          <w:rFonts w:ascii="Times New Roman" w:eastAsia="Times New Roman" w:hAnsi="Times New Roman" w:cs="Times New Roman"/>
          <w:color w:val="3C4043"/>
          <w:sz w:val="24"/>
          <w:szCs w:val="24"/>
        </w:rPr>
      </w:pPr>
    </w:p>
    <w:p w14:paraId="00000011" w14:textId="77777777" w:rsidR="00931190" w:rsidRDefault="00A83334">
      <w:pPr>
        <w:spacing w:line="480" w:lineRule="auto"/>
        <w:jc w:val="center"/>
        <w:rPr>
          <w:rFonts w:ascii="Times New Roman" w:eastAsia="Times New Roman" w:hAnsi="Times New Roman" w:cs="Times New Roman"/>
          <w:b/>
          <w:color w:val="3C4043"/>
          <w:sz w:val="24"/>
          <w:szCs w:val="24"/>
        </w:rPr>
      </w:pPr>
      <w:r>
        <w:rPr>
          <w:rFonts w:ascii="Times New Roman" w:eastAsia="Times New Roman" w:hAnsi="Times New Roman" w:cs="Times New Roman"/>
          <w:b/>
          <w:color w:val="3C4043"/>
          <w:sz w:val="24"/>
          <w:szCs w:val="24"/>
        </w:rPr>
        <w:t>PART III. CONCLUSION</w:t>
      </w:r>
    </w:p>
    <w:p w14:paraId="00000012" w14:textId="77777777" w:rsidR="00931190" w:rsidRDefault="00A83334" w:rsidP="00757173">
      <w:pPr>
        <w:spacing w:line="480" w:lineRule="auto"/>
        <w:ind w:firstLine="720"/>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In conclusion, Foa and Mounk set out to investigate democratic deconsolidation and its value as a warning for impending democratic backslides. This investigation has its flaws; the methodologies of the surveys relied on by the authors are not described, calling into question the </w:t>
      </w:r>
      <w:r>
        <w:rPr>
          <w:rFonts w:ascii="Times New Roman" w:eastAsia="Times New Roman" w:hAnsi="Times New Roman" w:cs="Times New Roman"/>
          <w:color w:val="3C4043"/>
          <w:sz w:val="24"/>
          <w:szCs w:val="24"/>
        </w:rPr>
        <w:lastRenderedPageBreak/>
        <w:t xml:space="preserve">transparency of the project. This issue is compounded by the fact that their selected measurements are not adequately justified in the paper, leaving the reader asking both how and why certain measurements were used. Their focus on two case studies in which their desired outcome occurred, rather than on cases where the initial conditions they were studying were present also presents a weakness, possibly ignoring cases that do not fit their proposed narrative. Despite this, the paper still achieves one of Foa and Mounk’s main goals: opening the literature in “an unexplored area of the conceptual map”. Regardless of methodological flaws, the paper invites discussion (as proven by the various responses authored in recent years), beginning the building of a literature on the </w:t>
      </w:r>
      <w:commentRangeStart w:id="3"/>
      <w:r>
        <w:rPr>
          <w:rFonts w:ascii="Times New Roman" w:eastAsia="Times New Roman" w:hAnsi="Times New Roman" w:cs="Times New Roman"/>
          <w:color w:val="3C4043"/>
          <w:sz w:val="24"/>
          <w:szCs w:val="24"/>
        </w:rPr>
        <w:t>topic</w:t>
      </w:r>
      <w:commentRangeEnd w:id="3"/>
      <w:r w:rsidR="00863AA3">
        <w:rPr>
          <w:rStyle w:val="CommentReference"/>
        </w:rPr>
        <w:commentReference w:id="3"/>
      </w:r>
      <w:r>
        <w:rPr>
          <w:rFonts w:ascii="Times New Roman" w:eastAsia="Times New Roman" w:hAnsi="Times New Roman" w:cs="Times New Roman"/>
          <w:color w:val="3C4043"/>
          <w:sz w:val="24"/>
          <w:szCs w:val="24"/>
        </w:rPr>
        <w:t>.</w:t>
      </w:r>
    </w:p>
    <w:p w14:paraId="00000013" w14:textId="77777777" w:rsidR="00931190" w:rsidRDefault="00931190">
      <w:pPr>
        <w:spacing w:line="480" w:lineRule="auto"/>
        <w:rPr>
          <w:rFonts w:ascii="Times New Roman" w:eastAsia="Times New Roman" w:hAnsi="Times New Roman" w:cs="Times New Roman"/>
          <w:color w:val="3C4043"/>
          <w:sz w:val="24"/>
          <w:szCs w:val="24"/>
        </w:rPr>
      </w:pPr>
    </w:p>
    <w:sectPr w:rsidR="0093119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2-01-05T14:05:00Z" w:initials="OB">
    <w:p w14:paraId="64E4FF4F" w14:textId="77777777" w:rsidR="001401C8" w:rsidRDefault="001401C8" w:rsidP="00803A72">
      <w:pPr>
        <w:pStyle w:val="CommentText"/>
      </w:pPr>
      <w:r>
        <w:rPr>
          <w:rStyle w:val="CommentReference"/>
        </w:rPr>
        <w:annotationRef/>
      </w:r>
      <w:r>
        <w:rPr>
          <w:lang w:val="en-CA"/>
        </w:rPr>
        <w:t xml:space="preserve">These are all good points. The reason why this was not done is probably because the journal of democracy is not a "true" academic journal -- it has a more general audience, so it tries to keep its articles free of boring methodological details. </w:t>
      </w:r>
    </w:p>
  </w:comment>
  <w:comment w:id="1" w:author="Olivier Bergeron-Boutin" w:date="2022-01-05T14:06:00Z" w:initials="OB">
    <w:p w14:paraId="4676FFAE" w14:textId="77777777" w:rsidR="006C7124" w:rsidRDefault="006C7124" w:rsidP="00FB5FCD">
      <w:pPr>
        <w:pStyle w:val="CommentText"/>
      </w:pPr>
      <w:r>
        <w:rPr>
          <w:rStyle w:val="CommentReference"/>
        </w:rPr>
        <w:annotationRef/>
      </w:r>
      <w:r>
        <w:rPr>
          <w:lang w:val="en-CA"/>
        </w:rPr>
        <w:t xml:space="preserve">Yes! And more generally, I am not convinced that these survey answers are all that meaningful. </w:t>
      </w:r>
    </w:p>
  </w:comment>
  <w:comment w:id="2" w:author="Olivier Bergeron-Boutin" w:date="2022-01-05T14:07:00Z" w:initials="OB">
    <w:p w14:paraId="6F08841C" w14:textId="77777777" w:rsidR="009C5021" w:rsidRDefault="009C5021" w:rsidP="008336D4">
      <w:pPr>
        <w:pStyle w:val="CommentText"/>
      </w:pPr>
      <w:r>
        <w:rPr>
          <w:rStyle w:val="CommentReference"/>
        </w:rPr>
        <w:annotationRef/>
      </w:r>
      <w:r>
        <w:rPr>
          <w:lang w:val="en-CA"/>
        </w:rPr>
        <w:t>You should expand on this using the terminology we introduced in class: most-likely vs least-likely cases.</w:t>
      </w:r>
    </w:p>
  </w:comment>
  <w:comment w:id="3" w:author="Olivier Bergeron-Boutin" w:date="2022-01-05T14:08:00Z" w:initials="OB">
    <w:p w14:paraId="4B0AEA89" w14:textId="77777777" w:rsidR="00863AA3" w:rsidRDefault="00863AA3" w:rsidP="006D7111">
      <w:pPr>
        <w:pStyle w:val="CommentText"/>
      </w:pPr>
      <w:r>
        <w:rPr>
          <w:rStyle w:val="CommentReference"/>
        </w:rPr>
        <w:annotationRef/>
      </w:r>
      <w:r>
        <w:rPr>
          <w:lang w:val="en-CA"/>
        </w:rPr>
        <w:t xml:space="preserve">Broad comments: this is a fairly good critique, but I wish you had spent even more time talking about measurement. For instance, using the 1-10 scale of importance of democracy, how do they arrive at a percentage of respondents? These are the sometimes boring details that make or break a study.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E4FF4F" w15:done="0"/>
  <w15:commentEx w15:paraId="4676FFAE" w15:done="0"/>
  <w15:commentEx w15:paraId="6F08841C" w15:done="0"/>
  <w15:commentEx w15:paraId="4B0AEA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02412" w16cex:dateUtc="2022-01-05T19:05:00Z"/>
  <w16cex:commentExtensible w16cex:durableId="2580245A" w16cex:dateUtc="2022-01-05T19:06:00Z"/>
  <w16cex:commentExtensible w16cex:durableId="258024AC" w16cex:dateUtc="2022-01-05T19:07:00Z"/>
  <w16cex:commentExtensible w16cex:durableId="258024EB" w16cex:dateUtc="2022-01-05T1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E4FF4F" w16cid:durableId="25802412"/>
  <w16cid:commentId w16cid:paraId="4676FFAE" w16cid:durableId="2580245A"/>
  <w16cid:commentId w16cid:paraId="6F08841C" w16cid:durableId="258024AC"/>
  <w16cid:commentId w16cid:paraId="4B0AEA89" w16cid:durableId="258024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190"/>
    <w:rsid w:val="001401C8"/>
    <w:rsid w:val="006C7124"/>
    <w:rsid w:val="00757173"/>
    <w:rsid w:val="00863AA3"/>
    <w:rsid w:val="00931190"/>
    <w:rsid w:val="009C5021"/>
    <w:rsid w:val="00A833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75BD"/>
  <w15:docId w15:val="{7C00A7B9-CCFE-CF4E-A43A-F9E7C3B3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1401C8"/>
    <w:rPr>
      <w:sz w:val="16"/>
      <w:szCs w:val="16"/>
    </w:rPr>
  </w:style>
  <w:style w:type="paragraph" w:styleId="CommentText">
    <w:name w:val="annotation text"/>
    <w:basedOn w:val="Normal"/>
    <w:link w:val="CommentTextChar"/>
    <w:uiPriority w:val="99"/>
    <w:unhideWhenUsed/>
    <w:rsid w:val="001401C8"/>
    <w:pPr>
      <w:spacing w:line="240" w:lineRule="auto"/>
    </w:pPr>
    <w:rPr>
      <w:sz w:val="20"/>
      <w:szCs w:val="20"/>
    </w:rPr>
  </w:style>
  <w:style w:type="character" w:customStyle="1" w:styleId="CommentTextChar">
    <w:name w:val="Comment Text Char"/>
    <w:basedOn w:val="DefaultParagraphFont"/>
    <w:link w:val="CommentText"/>
    <w:uiPriority w:val="99"/>
    <w:rsid w:val="001401C8"/>
    <w:rPr>
      <w:sz w:val="20"/>
      <w:szCs w:val="20"/>
    </w:rPr>
  </w:style>
  <w:style w:type="paragraph" w:styleId="CommentSubject">
    <w:name w:val="annotation subject"/>
    <w:basedOn w:val="CommentText"/>
    <w:next w:val="CommentText"/>
    <w:link w:val="CommentSubjectChar"/>
    <w:uiPriority w:val="99"/>
    <w:semiHidden/>
    <w:unhideWhenUsed/>
    <w:rsid w:val="001401C8"/>
    <w:rPr>
      <w:b/>
      <w:bCs/>
    </w:rPr>
  </w:style>
  <w:style w:type="character" w:customStyle="1" w:styleId="CommentSubjectChar">
    <w:name w:val="Comment Subject Char"/>
    <w:basedOn w:val="CommentTextChar"/>
    <w:link w:val="CommentSubject"/>
    <w:uiPriority w:val="99"/>
    <w:semiHidden/>
    <w:rsid w:val="001401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1550</Words>
  <Characters>8840</Characters>
  <Application>Microsoft Office Word</Application>
  <DocSecurity>0</DocSecurity>
  <Lines>73</Lines>
  <Paragraphs>20</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Olivier Bergeron-Boutin</cp:lastModifiedBy>
  <cp:revision>6</cp:revision>
  <dcterms:created xsi:type="dcterms:W3CDTF">2021-12-07T02:36:00Z</dcterms:created>
  <dcterms:modified xsi:type="dcterms:W3CDTF">2022-01-05T19:08:00Z</dcterms:modified>
</cp:coreProperties>
</file>