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NA"/&gt;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cantSplit/>
          <w:trHeight w:val="360" w:hRule="auto"/>
          <w:tblHeader/>
        </w:trPr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Model 1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Model 2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0.226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0.241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(0.028)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(0.035)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1950s cohort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-0.007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-0.015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(0.016)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(0.021)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1960s cohort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0.023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(0.018)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(0.022)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1970s cohort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0.016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(0.018)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(0.023)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1980s cohort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0.077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0.022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(0.017)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(0.022)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Post-1980s cohort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0.075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0.032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(0.018)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(0.023)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Not very strong Democrat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0.075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(0.017)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(0.022)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Independent/leaner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0.076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(0.013)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(0.016)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Not very strong Republican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0.172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0.183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(0.019)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(0.023)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Strong Republican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0.215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0.265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(0.017)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(0.021)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-0.017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(0.010)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(0.012)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Black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0.067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0.061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(0.017)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(0.021)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Other minority race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0.069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0.031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(0.013)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(0.016)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Unemployed/laid-off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-0.001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(0.018)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(0.022)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Deprivation scale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0.099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0.088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(0.016)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(0.020)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High school graduate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-0.031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-0.028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(0.021)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(0.026)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Some college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-0.131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-0.111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(0.022)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(0.027)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2-year college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-0.117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-0.084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(0.024)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(0.030)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4-year college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-0.156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-0.153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(0.022)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(0.028)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Graduate degree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-0.181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-0.166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(0.025)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(0.031)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Midwest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-0.020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(0.016)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(0.020)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South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0.019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(0.015)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(0.018)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West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-0.039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-0.040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(0.016)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(0.020)</w:t>
            </w:r>
          </w:p>
        </w:tc>
      </w:tr>
      <w:tr>
        <w:trPr>
          <w:cantSplit/>
          <w:trHeight w:val="360" w:hRule="auto"/>
        </w:trPr>
        <w:tc>
          <w:tcPr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2238</w:t>
            </w:r>
          </w:p>
        </w:tc>
        <w:tc>
          <w:tcPr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2260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0.206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0.141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R2 Adj.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0.198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0.132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-278.2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767.9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-135.3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911.0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Log.Lik.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164.080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-358.947</w:t>
            </w:r>
          </w:p>
        </w:tc>
      </w:tr>
    </w:tbl>
    <w:sectPr xmlns:w="http://schemas.openxmlformats.org/wordprocessingml/2006/main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2021-04-21T17:18:58Z</dcterms:modified>
  <cp:category/>
</cp:coreProperties>
</file>