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</w:tblGrid>
      <w:tr>
        <w:trPr>
          <w:cantSplit/>
          <w:trHeight w:val="360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Model 1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1950s cohort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0.093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(0.065)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1960s cohort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0.109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(0.063)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1970s cohort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-0.057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(0.065)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1980s cohort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-0.064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(0.069)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Post-1980s cohort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-0.150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(0.076)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Dissatisfaction with democracy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-0.248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(0.009)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Dissatisfaction * 1950s cohort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-0.004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(0.014)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Dissatisfaction * 1960s cohort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-0.006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(0.013)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Dissatisfaction * 1970s cohort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(0.013)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Dissatisfaction * 1980s cohort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-0.026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(0.014)</w:t>
            </w:r>
          </w:p>
        </w:tc>
      </w:tr>
      <w:tr>
        <w:trPr>
          <w:cantSplit/>
          <w:trHeight w:val="360" w:hRule="auto"/>
        </w:trPr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27170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0.152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0.151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105274.6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105496.2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Log.Lik.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-52610.289</w:t>
            </w:r>
          </w:p>
        </w:tc>
      </w:tr>
    </w:tbl>
    <w:sectPr xmlns:w="http://schemas.openxmlformats.org/wordprocessingml/2006/main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2021-04-22T11:05:27Z</dcterms:modified>
  <cp:category/>
</cp:coreProperties>
</file>