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f1h5t2qkiw8" w:id="0"/>
      <w:bookmarkEnd w:id="0"/>
      <w:r w:rsidDel="00000000" w:rsidR="00000000" w:rsidRPr="00000000">
        <w:rPr>
          <w:b w:val="1"/>
          <w:bCs w:val="1"/>
          <w:color w:val="000000"/>
          <w:sz w:val="26"/>
          <w:szCs w:val="26"/>
          <w:rtl w:val="0"/>
        </w:rPr>
        <w:t xml:space="preserve">Phần 1: Hai giải pháp và bảng Trade-off</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Giải pháp 1 (Sync API):</w:t>
      </w:r>
      <w:r w:rsidDel="00000000" w:rsidR="00000000" w:rsidRPr="00000000">
        <w:rPr>
          <w:rtl w:val="0"/>
        </w:rPr>
        <w:t xml:space="preserve"> App gọi API cổng thanh toán, giữ kết nối chờ kết quả rồi cập nhật trạng thái ngay trong cùng request.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Giải pháp 2 (Async Webhook/Queue):</w:t>
      </w:r>
      <w:r w:rsidDel="00000000" w:rsidR="00000000" w:rsidRPr="00000000">
        <w:rPr>
          <w:rtl w:val="0"/>
        </w:rPr>
        <w:t xml:space="preserve"> App chỉ tạo giao dịch và nhận mã VietQR. Ngân hàng gửi kết quả bất đồng bộ qua Webhook, hệ thống đẩy vào Message Queue, Consumer Worker xử lý rồi Billing Service gạch nợ.</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3062200956938"/>
        <w:gridCol w:w="4199.808612440192"/>
        <w:gridCol w:w="3975.8851674641146"/>
        <w:tblGridChange w:id="0">
          <w:tblGrid>
            <w:gridCol w:w="1184.3062200956938"/>
            <w:gridCol w:w="4199.808612440192"/>
            <w:gridCol w:w="3975.8851674641146"/>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Giải pháp 1: Sync API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Giải pháp 2: Async Webhook/Queue</w:t>
            </w:r>
            <w:r w:rsidDel="00000000" w:rsidR="00000000" w:rsidRPr="00000000">
              <w:rPr>
                <w:rtl w:val="0"/>
              </w:rPr>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Độ tin cậy khi nghẽn mạng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Thấp. Timeout xảy ra khi khách đã bị trừ tiền nhưng hệ thống không nhận được kết quả, đơn vẫn ở trạng thái chờ. Với 200.000 giao dịch/ngày, các kết nối bị giữ dễ làm cạn thread/connection pool.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Cao. Queue đệm tải và lưu message bền vững. Ngân hàng tự retry Webhook, Worker retry kèm Dead Letter Queue. Không mất giao dịch khi nghẽn tạm thời.</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Độ phức tạp triển khai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Thấp. Luồng đơn giản, dễ debug, không cần hạ tầng thêm.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Cao hơn. Cần Queue (Kafka/RabbitMQ), Worker, cơ chế retry, DLQ và giám sát.</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Rủi ro sai lệch dữ liệu tài chính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Cao. Khó phân biệt "chưa trừ tiền" với "đã trừ nhưng mất phản hồi", dẫn đến sai lệch, phải đối soát thủ công. Gọi lại API khi timeout có thể trừ tiền hai lần.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Thấp nếu có Idempotency Key (chống Webhook trùng), HMAC (chống giả mạo) và transaction ACID. Rủi ro còn lại là xử lý trùng, được kiểm soát bằng idempotency.</w:t>
            </w:r>
          </w:p>
        </w:tc>
      </w:tr>
    </w:tbl>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Chọn Giải pháp 2.</w:t>
      </w:r>
      <w:r w:rsidDel="00000000" w:rsidR="00000000" w:rsidRPr="00000000">
        <w:rPr>
          <w:rtl w:val="0"/>
        </w:rPr>
        <w:t xml:space="preserve"> Lý do: khối lượng lớn, bẫy dữ liệu của đề (timeout sau khi trừ tiền, Webhook trùng) đều là điểm mạnh của mô hình bất đồng bộ kèm idempotency. Đổi lại phải chấp nhận độ phức tạp cao hơn và trạng thái PAID đến trễ vài giây (eventual consistency). Đây là đánh đổi chấp nhận được với nghiệp vụ tài chính.</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Xử lý 3 bẫy trong đề:</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b w:val="1"/>
          <w:bCs w:val="1"/>
          <w:rtl w:val="0"/>
        </w:rPr>
        <w:t xml:space="preserve">Timeout sau khi trừ tiền:</w:t>
      </w:r>
      <w:r w:rsidDel="00000000" w:rsidR="00000000" w:rsidRPr="00000000">
        <w:rPr>
          <w:rtl w:val="0"/>
        </w:rPr>
        <w:t xml:space="preserve"> không phụ thuộc phản hồi đồng bộ, chờ Webhook. Thêm job đối soát định kỳ truy vấn trạng thái giao dịch từ ngân hàng cho các giao dịch PENDING quá hạn.</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b w:val="1"/>
          <w:bCs w:val="1"/>
          <w:rtl w:val="0"/>
        </w:rPr>
        <w:t xml:space="preserve">Webhook trùng:</w:t>
      </w:r>
      <w:r w:rsidDel="00000000" w:rsidR="00000000" w:rsidRPr="00000000">
        <w:rPr>
          <w:rtl w:val="0"/>
        </w:rPr>
        <w:t xml:space="preserve"> tra Idempotency Key (mã giao dịch ngân hàng) trong PaymentTransaction với ràng buộc UNIQUE. Nếu đã xử lý thì trả 200 và bỏ qua, không gạch nợ lần hai.</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b w:val="1"/>
          <w:bCs w:val="1"/>
          <w:rtl w:val="0"/>
        </w:rPr>
        <w:t xml:space="preserve">Tài khoản nhận COD bị khóa/sai:</w:t>
      </w:r>
      <w:r w:rsidDel="00000000" w:rsidR="00000000" w:rsidRPr="00000000">
        <w:rPr>
          <w:rtl w:val="0"/>
        </w:rPr>
        <w:t xml:space="preserve"> CODSettlement chuyển trạng thái FAILED, ghi AuditLog, giữ tiền ở trạng thái treo, thông báo người gửi cập nhật tài khoản rồi retry trong 24h.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p1etzo93iw4" w:id="1"/>
      <w:bookmarkEnd w:id="1"/>
      <w:r w:rsidDel="00000000" w:rsidR="00000000" w:rsidRPr="00000000">
        <w:rPr>
          <w:b w:val="1"/>
          <w:bCs w:val="1"/>
          <w:color w:val="000000"/>
          <w:sz w:val="26"/>
          <w:szCs w:val="26"/>
          <w:rtl w:val="0"/>
        </w:rPr>
        <w:t xml:space="preserve">Phần 2: Sequence Diagram trên draw.io</w:t>
      </w:r>
    </w:p>
    <w:p w:rsidR="00000000" w:rsidDel="00000000" w:rsidP="00000000" w:rsidRDefault="00000000" w:rsidRPr="00000000" w14:paraId="00000017">
      <w:pPr>
        <w:spacing w:after="240" w:before="240" w:lineRule="auto"/>
        <w:ind w:left="720" w:firstLine="0"/>
        <w:rPr/>
      </w:pPr>
      <w:r w:rsidDel="00000000" w:rsidR="00000000" w:rsidRPr="00000000">
        <w:rPr/>
        <w:drawing>
          <wp:inline distB="114300" distT="114300" distL="114300" distR="114300">
            <wp:extent cx="5943600" cy="166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8pxi7kz6fq4" w:id="2"/>
      <w:bookmarkEnd w:id="2"/>
      <w:r w:rsidDel="00000000" w:rsidR="00000000" w:rsidRPr="00000000">
        <w:rPr>
          <w:b w:val="1"/>
          <w:bCs w:val="1"/>
          <w:color w:val="000000"/>
          <w:sz w:val="26"/>
          <w:szCs w:val="26"/>
          <w:rtl w:val="0"/>
        </w:rPr>
        <w:t xml:space="preserve">Phần 3: Bảng dữ liệu và bảo mật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Các bảng:</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Shipment:</w:t>
      </w:r>
      <w:r w:rsidDel="00000000" w:rsidR="00000000" w:rsidRPr="00000000">
        <w:rPr>
          <w:rtl w:val="0"/>
        </w:rPr>
        <w:t xml:space="preserve"> vận đơn, cước, trạng thái (CHO_THANH_TOAN → PAID →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PaymentTransaction:</w:t>
      </w:r>
      <w:r w:rsidDel="00000000" w:rsidR="00000000" w:rsidRPr="00000000">
        <w:rPr>
          <w:rtl w:val="0"/>
        </w:rPr>
        <w:t xml:space="preserve"> giao dịch thanh toán, Idempotency Key (UNIQUE), số tiền, trạng thái, chữ ký nhận được.</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CODSettlement:</w:t>
      </w:r>
      <w:r w:rsidDel="00000000" w:rsidR="00000000" w:rsidRPr="00000000">
        <w:rPr>
          <w:rtl w:val="0"/>
        </w:rPr>
        <w:t xml:space="preserve"> đối soát COD, số tiền, ví nhận, trạng thái (PENDING/SUCCESS/FAILED), hạn 24h.</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AuditLog:</w:t>
      </w:r>
      <w:r w:rsidDel="00000000" w:rsidR="00000000" w:rsidRPr="00000000">
        <w:rPr>
          <w:rtl w:val="0"/>
        </w:rPr>
        <w:t xml:space="preserve"> nhật ký bất biến mọi thay đổi tài chính (ai, khi nào, giá trị trước/sau).</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Bảo mật:</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API Key:</w:t>
      </w:r>
      <w:r w:rsidDel="00000000" w:rsidR="00000000" w:rsidRPr="00000000">
        <w:rPr>
          <w:rtl w:val="0"/>
        </w:rPr>
        <w:t xml:space="preserve"> xác thực định danh hệ thống khi gọi cổng thanh toán, lưu ở secret manager, có thể xoay vòng.</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HMAC Checksum (SHA256):</w:t>
      </w:r>
      <w:r w:rsidDel="00000000" w:rsidR="00000000" w:rsidRPr="00000000">
        <w:rPr>
          <w:rtl w:val="0"/>
        </w:rPr>
        <w:t xml:space="preserve"> Cổng thanh toán ký payload Webhook bằng secret dùng chung. Billing Service tính lại chữ ký và so sánh bằng hàm constant-time. Chỉ khi khớp mới cho chuyển PAID, đúng quy tắc nghiệp vụ.</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Bổ sung:</w:t>
      </w:r>
      <w:r w:rsidDel="00000000" w:rsidR="00000000" w:rsidRPr="00000000">
        <w:rPr>
          <w:rtl w:val="0"/>
        </w:rPr>
        <w:t xml:space="preserve"> TLS cho mọi kết nối, kiểm tra timestamp trong Webhook để chống replay, ACID cho giao dịch tài chính.</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