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2"/>
        <w:gridCol w:w="1673"/>
        <w:gridCol w:w="4951"/>
      </w:tblGrid>
      <w:tr w:rsidR="00CA39AD" w:rsidRPr="003F4F91" w14:paraId="2EF058F5" w14:textId="77777777" w:rsidTr="00A81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51B599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</w:pPr>
            <w:bookmarkStart w:id="0" w:name="OLE_LINK1"/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Layer</w:t>
            </w:r>
          </w:p>
        </w:tc>
        <w:tc>
          <w:tcPr>
            <w:tcW w:w="0" w:type="auto"/>
            <w:hideMark/>
          </w:tcPr>
          <w:p w14:paraId="31B06EDF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589A3501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Rationale</w:t>
            </w:r>
          </w:p>
        </w:tc>
      </w:tr>
      <w:tr w:rsidR="00CA39AD" w:rsidRPr="003F4F91" w14:paraId="2EF9975D" w14:textId="77777777" w:rsidTr="00A81174">
        <w:tc>
          <w:tcPr>
            <w:tcW w:w="0" w:type="auto"/>
            <w:hideMark/>
          </w:tcPr>
          <w:p w14:paraId="55917091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1. Extraction</w:t>
            </w:r>
          </w:p>
        </w:tc>
        <w:tc>
          <w:tcPr>
            <w:tcW w:w="0" w:type="auto"/>
            <w:hideMark/>
          </w:tcPr>
          <w:p w14:paraId="4798420B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Python + Requests + Airflow</w:t>
            </w:r>
          </w:p>
        </w:tc>
        <w:tc>
          <w:tcPr>
            <w:tcW w:w="0" w:type="auto"/>
            <w:hideMark/>
          </w:tcPr>
          <w:p w14:paraId="372A71E5" w14:textId="77777777" w:rsidR="00CA39AD" w:rsidRDefault="00CA39AD" w:rsidP="00A81174">
            <w:pPr>
              <w:widowControl w:val="0"/>
              <w:rPr>
                <w:rFonts w:ascii="Times New Roman" w:hAnsi="Times New Roman" w:cs="Times New Roman" w:hint="eastAsia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>Python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and Airflow</w:t>
            </w: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>are used for</w:t>
            </w: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automated API data extraction and easy integration with cloud data sources. These APIs provide real-time and historical stock, financial,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article</w:t>
            </w: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and macroeconomic dat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a. 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0"/>
              </w:rPr>
              <w:t>Also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the </w:t>
            </w:r>
            <w:r w:rsidRPr="00CA39AD">
              <w:rPr>
                <w:rFonts w:ascii="Times New Roman" w:hAnsi="Times New Roman" w:cs="Times New Roman"/>
                <w:sz w:val="21"/>
                <w:szCs w:val="20"/>
              </w:rPr>
              <w:t>Airflow is used to schedule and monitor ETL jobs, ensuring the pipeline automatically runs daily and handles dependency management and error logging.</w:t>
            </w:r>
          </w:p>
          <w:p w14:paraId="7260261F" w14:textId="77777777" w:rsidR="00CA39AD" w:rsidRDefault="00CA39AD" w:rsidP="00A81174">
            <w:pPr>
              <w:widowControl w:val="0"/>
              <w:jc w:val="both"/>
              <w:rPr>
                <w:rFonts w:ascii="Times New Roman" w:hAnsi="Times New Roman" w:cs="Times New Roman" w:hint="eastAsia"/>
                <w:sz w:val="21"/>
                <w:szCs w:val="20"/>
              </w:rPr>
            </w:pPr>
          </w:p>
          <w:p w14:paraId="6DA35B7C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</w:tr>
      <w:tr w:rsidR="00CA39AD" w:rsidRPr="003F4F91" w14:paraId="7483E7B7" w14:textId="77777777" w:rsidTr="00A81174">
        <w:tc>
          <w:tcPr>
            <w:tcW w:w="0" w:type="auto"/>
            <w:hideMark/>
          </w:tcPr>
          <w:p w14:paraId="3830933E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2. Raw Storage</w:t>
            </w:r>
          </w:p>
        </w:tc>
        <w:tc>
          <w:tcPr>
            <w:tcW w:w="0" w:type="auto"/>
            <w:hideMark/>
          </w:tcPr>
          <w:p w14:paraId="3A8D7DCD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MongoDB</w:t>
            </w:r>
          </w:p>
        </w:tc>
        <w:tc>
          <w:tcPr>
            <w:tcW w:w="0" w:type="auto"/>
            <w:hideMark/>
          </w:tcPr>
          <w:p w14:paraId="611FF7DD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sz w:val="21"/>
                <w:szCs w:val="20"/>
              </w:rPr>
              <w:t xml:space="preserve">Flexible schema for evolving API payloads; 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MongoDB is </w:t>
            </w:r>
            <w:r w:rsidRPr="003F4F91">
              <w:rPr>
                <w:rFonts w:ascii="Times New Roman" w:hAnsi="Times New Roman" w:cs="Times New Roman"/>
                <w:sz w:val="21"/>
                <w:szCs w:val="20"/>
              </w:rPr>
              <w:t>ideal for semi-structured text</w:t>
            </w:r>
          </w:p>
          <w:p w14:paraId="2274C3AF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</w:tr>
      <w:tr w:rsidR="00CA39AD" w:rsidRPr="003F4F91" w14:paraId="4FB152AF" w14:textId="77777777" w:rsidTr="00A81174">
        <w:tc>
          <w:tcPr>
            <w:tcW w:w="0" w:type="auto"/>
            <w:hideMark/>
          </w:tcPr>
          <w:p w14:paraId="035D3AD7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3. Transformation</w:t>
            </w:r>
          </w:p>
        </w:tc>
        <w:tc>
          <w:tcPr>
            <w:tcW w:w="0" w:type="auto"/>
            <w:hideMark/>
          </w:tcPr>
          <w:p w14:paraId="2AA6F830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Apache Spark (</w:t>
            </w:r>
            <w:proofErr w:type="spellStart"/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PySpark</w:t>
            </w:r>
            <w:proofErr w:type="spellEnd"/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28C181C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  <w:p w14:paraId="3385DFBC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Data cleaning and transformation are performed using distributed computing with </w:t>
            </w:r>
            <w:proofErr w:type="spellStart"/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>PySpark</w:t>
            </w:r>
            <w:proofErr w:type="spellEnd"/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for scalability. This ensures flexibility between big data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, </w:t>
            </w:r>
            <w:r w:rsidRPr="003F4F91">
              <w:rPr>
                <w:rFonts w:ascii="Times New Roman" w:hAnsi="Times New Roman" w:cs="Times New Roman" w:hint="eastAsia"/>
                <w:sz w:val="21"/>
                <w:szCs w:val="20"/>
              </w:rPr>
              <w:t>prototype testing</w:t>
            </w:r>
            <w:r>
              <w:rPr>
                <w:rFonts w:ascii="Times New Roman" w:hAnsi="Times New Roman" w:cs="Times New Roman" w:hint="eastAsia"/>
                <w:sz w:val="21"/>
                <w:szCs w:val="20"/>
              </w:rPr>
              <w:t xml:space="preserve"> and </w:t>
            </w:r>
            <w:r w:rsidRPr="003F4F91">
              <w:rPr>
                <w:rFonts w:ascii="Times New Roman" w:hAnsi="Times New Roman" w:cs="Times New Roman"/>
                <w:sz w:val="21"/>
                <w:szCs w:val="20"/>
              </w:rPr>
              <w:t>scalable MapReduce pattern</w:t>
            </w:r>
          </w:p>
          <w:p w14:paraId="31E508EA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  <w:p w14:paraId="3A93B5C6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</w:tr>
      <w:tr w:rsidR="00CA39AD" w:rsidRPr="003F4F91" w14:paraId="6ADF9361" w14:textId="77777777" w:rsidTr="00A81174">
        <w:tc>
          <w:tcPr>
            <w:tcW w:w="0" w:type="auto"/>
            <w:hideMark/>
          </w:tcPr>
          <w:p w14:paraId="60BDD0AC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4. NLP Model</w:t>
            </w:r>
          </w:p>
        </w:tc>
        <w:tc>
          <w:tcPr>
            <w:tcW w:w="0" w:type="auto"/>
            <w:hideMark/>
          </w:tcPr>
          <w:p w14:paraId="6CFB532A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proofErr w:type="spellStart"/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FinBERT</w:t>
            </w:r>
            <w:proofErr w:type="spellEnd"/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 xml:space="preserve"> / Transformers pipeline</w:t>
            </w:r>
          </w:p>
        </w:tc>
        <w:tc>
          <w:tcPr>
            <w:tcW w:w="0" w:type="auto"/>
            <w:hideMark/>
          </w:tcPr>
          <w:p w14:paraId="00B255B1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sz w:val="21"/>
                <w:szCs w:val="20"/>
              </w:rPr>
              <w:t>Finance-domain language model outperforms generic lexicons</w:t>
            </w:r>
          </w:p>
          <w:p w14:paraId="548E1C46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</w:tr>
      <w:tr w:rsidR="00CA39AD" w:rsidRPr="003F4F91" w14:paraId="7B30B0A0" w14:textId="77777777" w:rsidTr="00A81174">
        <w:tc>
          <w:tcPr>
            <w:tcW w:w="0" w:type="auto"/>
            <w:hideMark/>
          </w:tcPr>
          <w:p w14:paraId="1E25CF66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5. Data Warehouse</w:t>
            </w:r>
          </w:p>
        </w:tc>
        <w:tc>
          <w:tcPr>
            <w:tcW w:w="0" w:type="auto"/>
            <w:hideMark/>
          </w:tcPr>
          <w:p w14:paraId="2B9249E8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 xml:space="preserve">PostgreSQL + 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0"/>
              </w:rPr>
              <w:t>Mongo</w:t>
            </w:r>
            <w:r w:rsidRPr="003F4F91">
              <w:rPr>
                <w:rFonts w:ascii="Times New Roman" w:hAnsi="Times New Roman" w:cs="Times New Roman"/>
                <w:b/>
                <w:bCs/>
                <w:sz w:val="21"/>
                <w:szCs w:val="20"/>
              </w:rPr>
              <w:t>DB</w:t>
            </w:r>
          </w:p>
        </w:tc>
        <w:tc>
          <w:tcPr>
            <w:tcW w:w="0" w:type="auto"/>
            <w:hideMark/>
          </w:tcPr>
          <w:p w14:paraId="262A188F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  <w:r w:rsidRPr="00CA39AD">
              <w:rPr>
                <w:rFonts w:ascii="Times New Roman" w:hAnsi="Times New Roman" w:cs="Times New Roman" w:hint="eastAsia"/>
                <w:sz w:val="21"/>
                <w:szCs w:val="20"/>
              </w:rPr>
              <w:t>A hybrid data warehouse design: PostgreSQL stores structured relational data (facts and dimensions), while MongoDB stores unstructured text such as financial news. This combination supports both OLAP queries and flexible data retrieval.</w:t>
            </w:r>
          </w:p>
          <w:p w14:paraId="37FCE02B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</w:tr>
      <w:tr w:rsidR="00CA39AD" w:rsidRPr="003F4F91" w14:paraId="396D3A89" w14:textId="77777777" w:rsidTr="00A81174">
        <w:tc>
          <w:tcPr>
            <w:tcW w:w="0" w:type="auto"/>
            <w:hideMark/>
          </w:tcPr>
          <w:p w14:paraId="15F4F69E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color w:val="EE0000"/>
                <w:sz w:val="21"/>
                <w:szCs w:val="20"/>
              </w:rPr>
              <w:t>6. API Interface</w:t>
            </w:r>
          </w:p>
        </w:tc>
        <w:tc>
          <w:tcPr>
            <w:tcW w:w="0" w:type="auto"/>
          </w:tcPr>
          <w:p w14:paraId="71A5D50D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</w:p>
        </w:tc>
        <w:tc>
          <w:tcPr>
            <w:tcW w:w="0" w:type="auto"/>
          </w:tcPr>
          <w:p w14:paraId="01EB42C5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</w:p>
        </w:tc>
      </w:tr>
      <w:tr w:rsidR="00CA39AD" w:rsidRPr="003F4F91" w14:paraId="3EF0B3F0" w14:textId="77777777" w:rsidTr="00A81174">
        <w:tc>
          <w:tcPr>
            <w:tcW w:w="0" w:type="auto"/>
            <w:hideMark/>
          </w:tcPr>
          <w:p w14:paraId="2E6B71BD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 w:hint="eastAsia"/>
                <w:color w:val="EE0000"/>
                <w:sz w:val="21"/>
                <w:szCs w:val="20"/>
              </w:rPr>
            </w:pPr>
            <w:r w:rsidRPr="003F4F91">
              <w:rPr>
                <w:rFonts w:ascii="Times New Roman" w:hAnsi="Times New Roman" w:cs="Times New Roman"/>
                <w:b/>
                <w:bCs/>
                <w:color w:val="EE0000"/>
                <w:sz w:val="21"/>
                <w:szCs w:val="20"/>
              </w:rPr>
              <w:t xml:space="preserve">7. </w:t>
            </w:r>
            <w:r>
              <w:rPr>
                <w:rFonts w:ascii="Times New Roman" w:hAnsi="Times New Roman" w:cs="Times New Roman" w:hint="eastAsia"/>
                <w:b/>
                <w:bCs/>
                <w:color w:val="EE0000"/>
                <w:sz w:val="21"/>
                <w:szCs w:val="20"/>
              </w:rPr>
              <w:t>Reasoning</w:t>
            </w:r>
          </w:p>
        </w:tc>
        <w:tc>
          <w:tcPr>
            <w:tcW w:w="0" w:type="auto"/>
          </w:tcPr>
          <w:p w14:paraId="6AF73394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</w:p>
          <w:p w14:paraId="28829F64" w14:textId="77777777" w:rsidR="00CA39AD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</w:p>
          <w:p w14:paraId="36298516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 w:hint="eastAsia"/>
                <w:color w:val="EE0000"/>
                <w:sz w:val="21"/>
                <w:szCs w:val="20"/>
              </w:rPr>
            </w:pPr>
          </w:p>
        </w:tc>
        <w:tc>
          <w:tcPr>
            <w:tcW w:w="0" w:type="auto"/>
          </w:tcPr>
          <w:p w14:paraId="71E37AF3" w14:textId="77777777" w:rsidR="00CA39AD" w:rsidRPr="003F4F91" w:rsidRDefault="00CA39AD" w:rsidP="00A81174">
            <w:pPr>
              <w:widowControl w:val="0"/>
              <w:rPr>
                <w:rFonts w:ascii="Times New Roman" w:hAnsi="Times New Roman" w:cs="Times New Roman"/>
                <w:color w:val="EE0000"/>
                <w:sz w:val="21"/>
                <w:szCs w:val="20"/>
              </w:rPr>
            </w:pPr>
          </w:p>
        </w:tc>
      </w:tr>
      <w:bookmarkEnd w:id="0"/>
    </w:tbl>
    <w:p w14:paraId="53CC8CCB" w14:textId="77777777" w:rsidR="003F4F91" w:rsidRDefault="003F4F91" w:rsidP="003F4F91"/>
    <w:p w14:paraId="676C10C8" w14:textId="61730DEB" w:rsidR="00CA39AD" w:rsidRDefault="00CA39AD" w:rsidP="003F4F91">
      <w:r>
        <w:rPr>
          <w:rFonts w:hint="eastAsia"/>
        </w:rPr>
        <w:t>ETL Pipeline Design:</w:t>
      </w:r>
    </w:p>
    <w:p w14:paraId="47B6EBFE" w14:textId="7B6D33D5" w:rsidR="00CA39AD" w:rsidRPr="003F4F91" w:rsidRDefault="00CA39AD" w:rsidP="003F4F91">
      <w:pPr>
        <w:rPr>
          <w:rFonts w:hint="eastAsia"/>
        </w:rPr>
      </w:pPr>
      <w:r>
        <w:rPr>
          <w:rFonts w:hint="eastAsia"/>
        </w:rPr>
        <w:t>1. Extract</w:t>
      </w:r>
    </w:p>
    <w:sectPr w:rsidR="00CA39AD" w:rsidRPr="003F4F91" w:rsidSect="002F1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B931" w14:textId="77777777" w:rsidR="00992D73" w:rsidRDefault="00992D73" w:rsidP="003F4F91">
      <w:pPr>
        <w:rPr>
          <w:rFonts w:hint="eastAsia"/>
        </w:rPr>
      </w:pPr>
      <w:r>
        <w:separator/>
      </w:r>
    </w:p>
  </w:endnote>
  <w:endnote w:type="continuationSeparator" w:id="0">
    <w:p w14:paraId="02536FFB" w14:textId="77777777" w:rsidR="00992D73" w:rsidRDefault="00992D73" w:rsidP="003F4F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CDC1" w14:textId="77777777" w:rsidR="00992D73" w:rsidRDefault="00992D73" w:rsidP="003F4F91">
      <w:pPr>
        <w:rPr>
          <w:rFonts w:hint="eastAsia"/>
        </w:rPr>
      </w:pPr>
      <w:r>
        <w:separator/>
      </w:r>
    </w:p>
  </w:footnote>
  <w:footnote w:type="continuationSeparator" w:id="0">
    <w:p w14:paraId="2D9210B8" w14:textId="77777777" w:rsidR="00992D73" w:rsidRDefault="00992D73" w:rsidP="003F4F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A1"/>
    <w:rsid w:val="000135DD"/>
    <w:rsid w:val="00064351"/>
    <w:rsid w:val="001E3C44"/>
    <w:rsid w:val="002532A1"/>
    <w:rsid w:val="00284919"/>
    <w:rsid w:val="002F1ED4"/>
    <w:rsid w:val="003545DB"/>
    <w:rsid w:val="003F4F91"/>
    <w:rsid w:val="005962F0"/>
    <w:rsid w:val="006F664A"/>
    <w:rsid w:val="00827448"/>
    <w:rsid w:val="008A712C"/>
    <w:rsid w:val="009066A7"/>
    <w:rsid w:val="00992D73"/>
    <w:rsid w:val="00B7280F"/>
    <w:rsid w:val="00CA39AD"/>
    <w:rsid w:val="00F1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20B53"/>
  <w15:chartTrackingRefBased/>
  <w15:docId w15:val="{4C6A5F40-98E7-4461-B072-179A6AB2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2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2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2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2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F4F91"/>
    <w:pPr>
      <w:widowControl/>
      <w:jc w:val="center"/>
    </w:pPr>
    <w:rPr>
      <w:rFonts w:eastAsia="宋体"/>
      <w:kern w:val="0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eastAsia="宋体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53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2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2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2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2A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532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5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532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53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53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532A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532A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532A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5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532A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532A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F4F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F4F9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F4F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F4F91"/>
    <w:rPr>
      <w:sz w:val="18"/>
      <w:szCs w:val="18"/>
    </w:rPr>
  </w:style>
  <w:style w:type="table" w:styleId="af3">
    <w:name w:val="Table Grid"/>
    <w:basedOn w:val="a1"/>
    <w:uiPriority w:val="39"/>
    <w:rsid w:val="003F4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1"/>
    <w:uiPriority w:val="40"/>
    <w:rsid w:val="00CA39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忠正 孙</dc:creator>
  <cp:keywords/>
  <dc:description/>
  <cp:lastModifiedBy>忠正 孙</cp:lastModifiedBy>
  <cp:revision>3</cp:revision>
  <dcterms:created xsi:type="dcterms:W3CDTF">2025-10-28T19:11:00Z</dcterms:created>
  <dcterms:modified xsi:type="dcterms:W3CDTF">2025-10-28T23:18:00Z</dcterms:modified>
</cp:coreProperties>
</file>