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9F31D" w14:textId="77777777" w:rsidR="003338AE" w:rsidRPr="00A12BCB" w:rsidRDefault="003338AE" w:rsidP="003338AE">
      <w:pPr>
        <w:spacing w:line="240" w:lineRule="auto"/>
        <w:ind w:firstLine="0"/>
        <w:jc w:val="both"/>
        <w:rPr>
          <w:noProof/>
          <w:color w:val="000000"/>
          <w:sz w:val="22"/>
          <w:szCs w:val="22"/>
          <w:bdr w:val="none" w:sz="0" w:space="0" w:color="auto" w:frame="1"/>
        </w:rPr>
      </w:pPr>
    </w:p>
    <w:p w14:paraId="2A807EB2" w14:textId="77777777" w:rsidR="003338AE" w:rsidRPr="00A12BCB" w:rsidRDefault="003338AE" w:rsidP="003338AE">
      <w:pPr>
        <w:spacing w:line="240" w:lineRule="auto"/>
        <w:ind w:firstLine="0"/>
        <w:jc w:val="both"/>
        <w:rPr>
          <w:noProof/>
          <w:color w:val="000000"/>
          <w:sz w:val="22"/>
          <w:szCs w:val="22"/>
          <w:bdr w:val="none" w:sz="0" w:space="0" w:color="auto" w:frame="1"/>
        </w:rPr>
      </w:pPr>
    </w:p>
    <w:p w14:paraId="1E89405E" w14:textId="77777777" w:rsidR="003338AE" w:rsidRPr="00A12BCB" w:rsidRDefault="003338AE" w:rsidP="003338AE">
      <w:pPr>
        <w:spacing w:line="240" w:lineRule="auto"/>
        <w:ind w:firstLine="0"/>
        <w:jc w:val="both"/>
        <w:rPr>
          <w:noProof/>
          <w:color w:val="000000"/>
          <w:sz w:val="22"/>
          <w:szCs w:val="22"/>
          <w:bdr w:val="none" w:sz="0" w:space="0" w:color="auto" w:frame="1"/>
        </w:rPr>
      </w:pPr>
    </w:p>
    <w:p w14:paraId="1277177D" w14:textId="77777777" w:rsidR="003338AE" w:rsidRPr="00A12BCB" w:rsidRDefault="003338AE" w:rsidP="003338AE">
      <w:pPr>
        <w:spacing w:line="240" w:lineRule="auto"/>
        <w:ind w:firstLine="0"/>
        <w:jc w:val="both"/>
        <w:rPr>
          <w:rFonts w:eastAsia="Aptos"/>
          <w:kern w:val="2"/>
          <w:lang w:eastAsia="en-US"/>
          <w14:ligatures w14:val="standardContextual"/>
        </w:rPr>
      </w:pPr>
      <w:r w:rsidRPr="00A12BCB">
        <w:rPr>
          <w:noProof/>
          <w:color w:val="000000"/>
          <w:sz w:val="22"/>
          <w:szCs w:val="22"/>
          <w:bdr w:val="none" w:sz="0" w:space="0" w:color="auto" w:frame="1"/>
        </w:rPr>
        <w:drawing>
          <wp:inline distT="0" distB="0" distL="0" distR="0" wp14:anchorId="004C104C" wp14:editId="0119D601">
            <wp:extent cx="5133975" cy="2943225"/>
            <wp:effectExtent l="0" t="0" r="9525" b="9525"/>
            <wp:docPr id="69375755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57556" name="Picture 1" descr="A logo for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943225"/>
                    </a:xfrm>
                    <a:prstGeom prst="rect">
                      <a:avLst/>
                    </a:prstGeom>
                    <a:noFill/>
                    <a:ln>
                      <a:noFill/>
                    </a:ln>
                  </pic:spPr>
                </pic:pic>
              </a:graphicData>
            </a:graphic>
          </wp:inline>
        </w:drawing>
      </w:r>
    </w:p>
    <w:p w14:paraId="7DCCD8DE" w14:textId="1B8C4C21" w:rsidR="003338AE" w:rsidRPr="00A12BCB" w:rsidRDefault="00C47128" w:rsidP="00C47128">
      <w:pPr>
        <w:spacing w:line="240" w:lineRule="auto"/>
        <w:ind w:firstLine="0"/>
        <w:jc w:val="center"/>
        <w:rPr>
          <w:b/>
          <w:bCs/>
          <w:color w:val="000000"/>
          <w:sz w:val="32"/>
          <w:szCs w:val="32"/>
          <w:lang w:eastAsia="en-US"/>
        </w:rPr>
      </w:pPr>
      <w:r w:rsidRPr="00A12BCB">
        <w:rPr>
          <w:b/>
          <w:bCs/>
          <w:color w:val="000000"/>
          <w:sz w:val="32"/>
          <w:szCs w:val="32"/>
          <w:lang w:eastAsia="en-US"/>
        </w:rPr>
        <w:t xml:space="preserve">2025-HX05-COS30045-Data </w:t>
      </w:r>
      <w:proofErr w:type="spellStart"/>
      <w:r w:rsidRPr="00A12BCB">
        <w:rPr>
          <w:b/>
          <w:bCs/>
          <w:color w:val="000000"/>
          <w:sz w:val="32"/>
          <w:szCs w:val="32"/>
          <w:lang w:eastAsia="en-US"/>
        </w:rPr>
        <w:t>Visualisation</w:t>
      </w:r>
      <w:proofErr w:type="spellEnd"/>
      <w:r w:rsidRPr="00A12BCB">
        <w:rPr>
          <w:b/>
          <w:bCs/>
          <w:color w:val="000000"/>
          <w:sz w:val="32"/>
          <w:szCs w:val="32"/>
          <w:lang w:eastAsia="en-US"/>
        </w:rPr>
        <w:t xml:space="preserve"> (HCMC)</w:t>
      </w:r>
    </w:p>
    <w:p w14:paraId="36A8C146" w14:textId="4004DD39" w:rsidR="003338AE" w:rsidRPr="00A12BCB" w:rsidRDefault="009E4ECC" w:rsidP="003338AE">
      <w:pPr>
        <w:spacing w:line="240" w:lineRule="auto"/>
        <w:ind w:firstLine="0"/>
        <w:jc w:val="center"/>
        <w:rPr>
          <w:sz w:val="32"/>
          <w:szCs w:val="32"/>
          <w:lang w:eastAsia="en-US"/>
        </w:rPr>
      </w:pPr>
      <w:proofErr w:type="spellStart"/>
      <w:r w:rsidRPr="00A12BCB">
        <w:rPr>
          <w:b/>
          <w:bCs/>
          <w:color w:val="000000"/>
          <w:sz w:val="32"/>
          <w:szCs w:val="32"/>
          <w:lang w:eastAsia="en-US"/>
        </w:rPr>
        <w:t>Visualisation</w:t>
      </w:r>
      <w:proofErr w:type="spellEnd"/>
      <w:r w:rsidRPr="00A12BCB">
        <w:rPr>
          <w:b/>
          <w:bCs/>
          <w:color w:val="000000"/>
          <w:sz w:val="32"/>
          <w:szCs w:val="32"/>
          <w:lang w:eastAsia="en-US"/>
        </w:rPr>
        <w:t xml:space="preserve"> Assignment (Week 5)</w:t>
      </w:r>
    </w:p>
    <w:p w14:paraId="030B6164" w14:textId="77777777" w:rsidR="003338AE" w:rsidRPr="00A12BCB" w:rsidRDefault="003338AE" w:rsidP="003338AE">
      <w:pPr>
        <w:spacing w:line="240" w:lineRule="auto"/>
        <w:ind w:firstLine="0"/>
        <w:jc w:val="both"/>
        <w:rPr>
          <w:lang w:eastAsia="en-US"/>
        </w:rPr>
      </w:pPr>
    </w:p>
    <w:p w14:paraId="66A3ED54" w14:textId="77777777" w:rsidR="003338AE" w:rsidRPr="00A12BCB" w:rsidRDefault="003338AE" w:rsidP="003338AE">
      <w:pPr>
        <w:spacing w:line="240" w:lineRule="auto"/>
        <w:ind w:firstLine="0"/>
        <w:jc w:val="both"/>
        <w:rPr>
          <w:lang w:eastAsia="en-US"/>
        </w:rPr>
      </w:pPr>
    </w:p>
    <w:p w14:paraId="39D48B9B" w14:textId="77777777" w:rsidR="003338AE" w:rsidRPr="00A12BCB" w:rsidRDefault="003338AE" w:rsidP="003338AE">
      <w:pPr>
        <w:spacing w:line="240" w:lineRule="auto"/>
        <w:ind w:firstLine="0"/>
        <w:jc w:val="both"/>
        <w:rPr>
          <w:lang w:eastAsia="en-US"/>
        </w:rPr>
      </w:pPr>
    </w:p>
    <w:p w14:paraId="29FC8CDB" w14:textId="77777777" w:rsidR="003338AE" w:rsidRPr="00A12BCB" w:rsidRDefault="003338AE" w:rsidP="003338AE">
      <w:pPr>
        <w:spacing w:line="240" w:lineRule="auto"/>
        <w:ind w:firstLine="0"/>
        <w:jc w:val="both"/>
        <w:rPr>
          <w:b/>
          <w:bCs/>
          <w:lang w:eastAsia="en-US"/>
        </w:rPr>
      </w:pPr>
    </w:p>
    <w:p w14:paraId="1E0664E5" w14:textId="77777777" w:rsidR="003338AE" w:rsidRPr="00A12BCB" w:rsidRDefault="003338AE" w:rsidP="003338AE">
      <w:pPr>
        <w:spacing w:line="240" w:lineRule="auto"/>
        <w:ind w:firstLine="0"/>
        <w:jc w:val="both"/>
        <w:rPr>
          <w:lang w:eastAsia="en-US"/>
        </w:rPr>
      </w:pPr>
    </w:p>
    <w:p w14:paraId="76597A4F" w14:textId="77777777" w:rsidR="003338AE" w:rsidRPr="00A12BCB" w:rsidRDefault="003338AE" w:rsidP="003338AE">
      <w:pPr>
        <w:spacing w:line="240" w:lineRule="auto"/>
        <w:ind w:firstLine="0"/>
        <w:jc w:val="both"/>
        <w:rPr>
          <w:lang w:eastAsia="en-US"/>
        </w:rPr>
      </w:pPr>
    </w:p>
    <w:p w14:paraId="61B60FB9" w14:textId="77777777" w:rsidR="003338AE" w:rsidRPr="00A12BCB" w:rsidRDefault="003338AE" w:rsidP="003338AE">
      <w:pPr>
        <w:spacing w:line="240" w:lineRule="auto"/>
        <w:ind w:firstLine="0"/>
        <w:jc w:val="both"/>
        <w:rPr>
          <w:lang w:eastAsia="en-US"/>
        </w:rPr>
      </w:pPr>
    </w:p>
    <w:p w14:paraId="2086231F" w14:textId="77777777" w:rsidR="003338AE" w:rsidRPr="00A12BCB" w:rsidRDefault="003338AE" w:rsidP="003338AE">
      <w:pPr>
        <w:spacing w:line="240" w:lineRule="auto"/>
        <w:ind w:firstLine="0"/>
        <w:jc w:val="both"/>
        <w:rPr>
          <w:lang w:eastAsia="en-US"/>
        </w:rPr>
      </w:pPr>
    </w:p>
    <w:p w14:paraId="54FE19DA" w14:textId="77777777" w:rsidR="003338AE" w:rsidRPr="00A12BCB" w:rsidRDefault="003338AE" w:rsidP="003338AE">
      <w:pPr>
        <w:spacing w:line="240" w:lineRule="auto"/>
        <w:ind w:firstLine="0"/>
        <w:jc w:val="both"/>
        <w:rPr>
          <w:lang w:eastAsia="en-US"/>
        </w:rPr>
      </w:pPr>
    </w:p>
    <w:p w14:paraId="3332A5E0" w14:textId="77777777" w:rsidR="003338AE" w:rsidRPr="00A12BCB" w:rsidRDefault="003338AE" w:rsidP="003338AE">
      <w:pPr>
        <w:spacing w:line="240" w:lineRule="auto"/>
        <w:ind w:firstLine="0"/>
        <w:jc w:val="both"/>
        <w:rPr>
          <w:lang w:eastAsia="en-US"/>
        </w:rPr>
      </w:pPr>
    </w:p>
    <w:p w14:paraId="39124882" w14:textId="77777777" w:rsidR="003338AE" w:rsidRPr="00A12BCB" w:rsidRDefault="003338AE" w:rsidP="003338AE">
      <w:pPr>
        <w:spacing w:line="240" w:lineRule="auto"/>
        <w:ind w:firstLine="0"/>
        <w:jc w:val="both"/>
        <w:rPr>
          <w:lang w:eastAsia="en-US"/>
        </w:rPr>
      </w:pPr>
    </w:p>
    <w:p w14:paraId="0D747DAB" w14:textId="1D941246" w:rsidR="003338AE" w:rsidRPr="00A12BCB" w:rsidRDefault="003338AE" w:rsidP="003338AE">
      <w:pPr>
        <w:spacing w:line="240" w:lineRule="auto"/>
        <w:ind w:left="426" w:firstLine="0"/>
        <w:jc w:val="both"/>
        <w:rPr>
          <w:sz w:val="28"/>
          <w:szCs w:val="28"/>
          <w:lang w:eastAsia="en-US"/>
        </w:rPr>
      </w:pPr>
      <w:r w:rsidRPr="00A12BCB">
        <w:rPr>
          <w:b/>
          <w:bCs/>
          <w:color w:val="000000"/>
          <w:sz w:val="28"/>
          <w:szCs w:val="28"/>
          <w:lang w:eastAsia="en-US"/>
        </w:rPr>
        <w:t xml:space="preserve">Instructor: </w:t>
      </w:r>
      <w:proofErr w:type="spellStart"/>
      <w:r w:rsidR="009E4ECC" w:rsidRPr="00A12BCB">
        <w:rPr>
          <w:color w:val="000000"/>
          <w:sz w:val="28"/>
          <w:szCs w:val="28"/>
          <w:lang w:eastAsia="en-US"/>
        </w:rPr>
        <w:t>Mr.Tristan</w:t>
      </w:r>
      <w:proofErr w:type="spellEnd"/>
      <w:r w:rsidR="009E4ECC" w:rsidRPr="00A12BCB">
        <w:rPr>
          <w:color w:val="000000"/>
          <w:sz w:val="28"/>
          <w:szCs w:val="28"/>
          <w:lang w:eastAsia="en-US"/>
        </w:rPr>
        <w:t xml:space="preserve"> Nguyen</w:t>
      </w:r>
    </w:p>
    <w:p w14:paraId="4905C5D0" w14:textId="77777777" w:rsidR="003338AE" w:rsidRPr="00A12BCB" w:rsidRDefault="003338AE" w:rsidP="003338AE">
      <w:pPr>
        <w:spacing w:line="240" w:lineRule="auto"/>
        <w:ind w:left="426" w:firstLine="0"/>
        <w:jc w:val="both"/>
        <w:rPr>
          <w:color w:val="000000"/>
          <w:sz w:val="28"/>
          <w:szCs w:val="28"/>
          <w:lang w:eastAsia="en-US"/>
        </w:rPr>
      </w:pPr>
      <w:r w:rsidRPr="00A12BCB">
        <w:rPr>
          <w:b/>
          <w:bCs/>
          <w:color w:val="000000"/>
          <w:sz w:val="28"/>
          <w:szCs w:val="28"/>
          <w:lang w:eastAsia="en-US"/>
        </w:rPr>
        <w:t>Student name:</w:t>
      </w:r>
      <w:r w:rsidRPr="00A12BCB">
        <w:rPr>
          <w:color w:val="000000"/>
          <w:sz w:val="28"/>
          <w:szCs w:val="28"/>
          <w:lang w:eastAsia="en-US"/>
        </w:rPr>
        <w:t xml:space="preserve"> NGUYEN ANH KHOA</w:t>
      </w:r>
    </w:p>
    <w:p w14:paraId="7D829B58" w14:textId="77777777" w:rsidR="003338AE" w:rsidRPr="00A12BCB" w:rsidRDefault="003338AE" w:rsidP="003338AE">
      <w:pPr>
        <w:spacing w:line="240" w:lineRule="auto"/>
        <w:ind w:left="426" w:firstLine="0"/>
        <w:jc w:val="both"/>
        <w:rPr>
          <w:color w:val="000000"/>
          <w:sz w:val="28"/>
          <w:szCs w:val="28"/>
          <w:lang w:eastAsia="en-US"/>
        </w:rPr>
      </w:pPr>
      <w:r w:rsidRPr="00A12BCB">
        <w:rPr>
          <w:b/>
          <w:bCs/>
          <w:color w:val="000000"/>
          <w:sz w:val="28"/>
          <w:szCs w:val="28"/>
          <w:lang w:eastAsia="en-US"/>
        </w:rPr>
        <w:t>Student ID:</w:t>
      </w:r>
      <w:r w:rsidRPr="00A12BCB">
        <w:rPr>
          <w:color w:val="000000"/>
          <w:sz w:val="28"/>
          <w:szCs w:val="28"/>
          <w:lang w:eastAsia="en-US"/>
        </w:rPr>
        <w:t xml:space="preserve"> 104856650</w:t>
      </w:r>
    </w:p>
    <w:p w14:paraId="168E768F" w14:textId="548DC073" w:rsidR="003338AE" w:rsidRPr="00A12BCB" w:rsidRDefault="003338AE" w:rsidP="003338AE">
      <w:pPr>
        <w:spacing w:line="240" w:lineRule="auto"/>
        <w:ind w:left="426" w:firstLine="0"/>
        <w:jc w:val="both"/>
        <w:rPr>
          <w:color w:val="000000"/>
          <w:sz w:val="28"/>
          <w:szCs w:val="28"/>
          <w:lang w:eastAsia="en-US"/>
        </w:rPr>
      </w:pPr>
      <w:r w:rsidRPr="00A12BCB">
        <w:rPr>
          <w:b/>
          <w:bCs/>
          <w:color w:val="000000"/>
          <w:sz w:val="28"/>
          <w:szCs w:val="28"/>
          <w:lang w:eastAsia="en-US"/>
        </w:rPr>
        <w:t>Word count:</w:t>
      </w:r>
      <w:r w:rsidRPr="00A12BCB">
        <w:rPr>
          <w:color w:val="000000"/>
          <w:sz w:val="28"/>
          <w:szCs w:val="28"/>
          <w:lang w:eastAsia="en-US"/>
        </w:rPr>
        <w:t xml:space="preserve"> </w:t>
      </w:r>
    </w:p>
    <w:p w14:paraId="7266FB87" w14:textId="5D1CDE62" w:rsidR="003338AE" w:rsidRPr="00A12BCB" w:rsidRDefault="003338AE" w:rsidP="003338AE">
      <w:pPr>
        <w:ind w:firstLine="426"/>
        <w:jc w:val="both"/>
        <w:rPr>
          <w:color w:val="000000"/>
          <w:sz w:val="28"/>
          <w:szCs w:val="28"/>
          <w:lang w:eastAsia="en-US"/>
        </w:rPr>
      </w:pPr>
      <w:r w:rsidRPr="00A12BCB">
        <w:rPr>
          <w:b/>
          <w:bCs/>
          <w:color w:val="000000"/>
          <w:sz w:val="28"/>
          <w:szCs w:val="28"/>
          <w:lang w:eastAsia="en-US"/>
        </w:rPr>
        <w:t>Submitted date:</w:t>
      </w:r>
      <w:r w:rsidRPr="00A12BCB">
        <w:rPr>
          <w:color w:val="000000"/>
          <w:sz w:val="28"/>
          <w:szCs w:val="28"/>
          <w:lang w:eastAsia="en-US"/>
        </w:rPr>
        <w:t xml:space="preserve"> </w:t>
      </w:r>
    </w:p>
    <w:p w14:paraId="73CC50FE" w14:textId="77777777" w:rsidR="003338AE" w:rsidRPr="00A12BCB" w:rsidRDefault="003338AE" w:rsidP="003338AE">
      <w:pPr>
        <w:spacing w:after="160" w:line="278" w:lineRule="auto"/>
        <w:ind w:firstLine="0"/>
        <w:rPr>
          <w:color w:val="000000"/>
          <w:sz w:val="28"/>
          <w:szCs w:val="28"/>
          <w:lang w:eastAsia="en-US"/>
        </w:rPr>
      </w:pPr>
      <w:r w:rsidRPr="00A12BCB">
        <w:rPr>
          <w:color w:val="000000"/>
          <w:sz w:val="28"/>
          <w:szCs w:val="28"/>
          <w:lang w:eastAsia="en-US"/>
        </w:rPr>
        <w:br w:type="page"/>
      </w:r>
    </w:p>
    <w:sdt>
      <w:sdtPr>
        <w:id w:val="1037781683"/>
        <w:docPartObj>
          <w:docPartGallery w:val="Table of Contents"/>
          <w:docPartUnique/>
        </w:docPartObj>
      </w:sdtPr>
      <w:sdtEndPr>
        <w:rPr>
          <w:rFonts w:ascii="Times New Roman" w:eastAsia="Times New Roman" w:hAnsi="Times New Roman" w:cs="Times New Roman"/>
          <w:b/>
          <w:bCs/>
          <w:noProof/>
          <w:color w:val="auto"/>
          <w:sz w:val="24"/>
          <w:szCs w:val="24"/>
          <w:lang w:eastAsia="en-GB"/>
        </w:rPr>
      </w:sdtEndPr>
      <w:sdtContent>
        <w:p w14:paraId="63483BCF" w14:textId="2459AA7A" w:rsidR="00157AA4" w:rsidRDefault="00157AA4">
          <w:pPr>
            <w:pStyle w:val="TOCHeading"/>
          </w:pPr>
          <w:r>
            <w:t>Contents</w:t>
          </w:r>
        </w:p>
        <w:p w14:paraId="25BDE918" w14:textId="24C8AB79" w:rsidR="00842F16" w:rsidRDefault="00157AA4">
          <w:pPr>
            <w:pStyle w:val="TOC1"/>
            <w:tabs>
              <w:tab w:val="right" w:leader="dot" w:pos="9019"/>
            </w:tabs>
            <w:rPr>
              <w:rFonts w:asciiTheme="minorHAnsi" w:eastAsiaTheme="minorEastAsia" w:hAnsiTheme="minorHAnsi" w:cstheme="minorBidi"/>
              <w:noProof/>
              <w:kern w:val="2"/>
              <w:lang w:eastAsia="en-US"/>
              <w14:ligatures w14:val="standardContextual"/>
            </w:rPr>
          </w:pPr>
          <w:r>
            <w:fldChar w:fldCharType="begin"/>
          </w:r>
          <w:r>
            <w:instrText xml:space="preserve"> TOC \o "1-3" \h \z \u </w:instrText>
          </w:r>
          <w:r>
            <w:fldChar w:fldCharType="separate"/>
          </w:r>
          <w:hyperlink w:anchor="_Toc200225935" w:history="1">
            <w:r w:rsidR="00842F16" w:rsidRPr="00C93C2D">
              <w:rPr>
                <w:rStyle w:val="Hyperlink"/>
                <w:b/>
                <w:bCs/>
                <w:noProof/>
              </w:rPr>
              <w:t>PART A - VISUALISATION CRITIQUE</w:t>
            </w:r>
            <w:r w:rsidR="00842F16">
              <w:rPr>
                <w:noProof/>
                <w:webHidden/>
              </w:rPr>
              <w:tab/>
            </w:r>
            <w:r w:rsidR="00842F16">
              <w:rPr>
                <w:noProof/>
                <w:webHidden/>
              </w:rPr>
              <w:fldChar w:fldCharType="begin"/>
            </w:r>
            <w:r w:rsidR="00842F16">
              <w:rPr>
                <w:noProof/>
                <w:webHidden/>
              </w:rPr>
              <w:instrText xml:space="preserve"> PAGEREF _Toc200225935 \h </w:instrText>
            </w:r>
            <w:r w:rsidR="00842F16">
              <w:rPr>
                <w:noProof/>
                <w:webHidden/>
              </w:rPr>
            </w:r>
            <w:r w:rsidR="00842F16">
              <w:rPr>
                <w:noProof/>
                <w:webHidden/>
              </w:rPr>
              <w:fldChar w:fldCharType="separate"/>
            </w:r>
            <w:r w:rsidR="00842F16">
              <w:rPr>
                <w:noProof/>
                <w:webHidden/>
              </w:rPr>
              <w:t>3</w:t>
            </w:r>
            <w:r w:rsidR="00842F16">
              <w:rPr>
                <w:noProof/>
                <w:webHidden/>
              </w:rPr>
              <w:fldChar w:fldCharType="end"/>
            </w:r>
          </w:hyperlink>
        </w:p>
        <w:p w14:paraId="01A4007C" w14:textId="27D87FAF" w:rsidR="00842F16" w:rsidRDefault="00842F16">
          <w:pPr>
            <w:pStyle w:val="TOC2"/>
            <w:tabs>
              <w:tab w:val="left" w:pos="1440"/>
              <w:tab w:val="right" w:leader="dot" w:pos="9019"/>
            </w:tabs>
            <w:rPr>
              <w:rFonts w:asciiTheme="minorHAnsi" w:eastAsiaTheme="minorEastAsia" w:hAnsiTheme="minorHAnsi" w:cstheme="minorBidi"/>
              <w:noProof/>
              <w:kern w:val="2"/>
              <w:lang w:eastAsia="en-US"/>
              <w14:ligatures w14:val="standardContextual"/>
            </w:rPr>
          </w:pPr>
          <w:hyperlink w:anchor="_Toc200225936" w:history="1">
            <w:r w:rsidRPr="00C93C2D">
              <w:rPr>
                <w:rStyle w:val="Hyperlink"/>
                <w:b/>
                <w:bCs/>
                <w:noProof/>
              </w:rPr>
              <w:t>1.</w:t>
            </w:r>
            <w:r>
              <w:rPr>
                <w:rFonts w:asciiTheme="minorHAnsi" w:eastAsiaTheme="minorEastAsia" w:hAnsiTheme="minorHAnsi" w:cstheme="minorBidi"/>
                <w:noProof/>
                <w:kern w:val="2"/>
                <w:lang w:eastAsia="en-US"/>
                <w14:ligatures w14:val="standardContextual"/>
              </w:rPr>
              <w:tab/>
            </w:r>
            <w:r w:rsidRPr="00C93C2D">
              <w:rPr>
                <w:rStyle w:val="Hyperlink"/>
                <w:b/>
                <w:bCs/>
                <w:noProof/>
              </w:rPr>
              <w:t>Introduction</w:t>
            </w:r>
            <w:r>
              <w:rPr>
                <w:noProof/>
                <w:webHidden/>
              </w:rPr>
              <w:tab/>
            </w:r>
            <w:r>
              <w:rPr>
                <w:noProof/>
                <w:webHidden/>
              </w:rPr>
              <w:fldChar w:fldCharType="begin"/>
            </w:r>
            <w:r>
              <w:rPr>
                <w:noProof/>
                <w:webHidden/>
              </w:rPr>
              <w:instrText xml:space="preserve"> PAGEREF _Toc200225936 \h </w:instrText>
            </w:r>
            <w:r>
              <w:rPr>
                <w:noProof/>
                <w:webHidden/>
              </w:rPr>
            </w:r>
            <w:r>
              <w:rPr>
                <w:noProof/>
                <w:webHidden/>
              </w:rPr>
              <w:fldChar w:fldCharType="separate"/>
            </w:r>
            <w:r>
              <w:rPr>
                <w:noProof/>
                <w:webHidden/>
              </w:rPr>
              <w:t>3</w:t>
            </w:r>
            <w:r>
              <w:rPr>
                <w:noProof/>
                <w:webHidden/>
              </w:rPr>
              <w:fldChar w:fldCharType="end"/>
            </w:r>
          </w:hyperlink>
        </w:p>
        <w:p w14:paraId="0BB34275" w14:textId="23AE9FE4" w:rsidR="00842F16" w:rsidRDefault="00842F16">
          <w:pPr>
            <w:pStyle w:val="TOC2"/>
            <w:tabs>
              <w:tab w:val="left" w:pos="1440"/>
              <w:tab w:val="right" w:leader="dot" w:pos="9019"/>
            </w:tabs>
            <w:rPr>
              <w:rFonts w:asciiTheme="minorHAnsi" w:eastAsiaTheme="minorEastAsia" w:hAnsiTheme="minorHAnsi" w:cstheme="minorBidi"/>
              <w:noProof/>
              <w:kern w:val="2"/>
              <w:lang w:eastAsia="en-US"/>
              <w14:ligatures w14:val="standardContextual"/>
            </w:rPr>
          </w:pPr>
          <w:hyperlink w:anchor="_Toc200225937" w:history="1">
            <w:r w:rsidRPr="00C93C2D">
              <w:rPr>
                <w:rStyle w:val="Hyperlink"/>
                <w:b/>
                <w:bCs/>
                <w:noProof/>
              </w:rPr>
              <w:t>2.</w:t>
            </w:r>
            <w:r>
              <w:rPr>
                <w:rFonts w:asciiTheme="minorHAnsi" w:eastAsiaTheme="minorEastAsia" w:hAnsiTheme="minorHAnsi" w:cstheme="minorBidi"/>
                <w:noProof/>
                <w:kern w:val="2"/>
                <w:lang w:eastAsia="en-US"/>
                <w14:ligatures w14:val="standardContextual"/>
              </w:rPr>
              <w:tab/>
            </w:r>
            <w:r w:rsidRPr="00C93C2D">
              <w:rPr>
                <w:rStyle w:val="Hyperlink"/>
                <w:b/>
                <w:bCs/>
                <w:noProof/>
              </w:rPr>
              <w:t>Visualisation 1: Green Patents in the Nordic Region (2006–2011)</w:t>
            </w:r>
            <w:r>
              <w:rPr>
                <w:noProof/>
                <w:webHidden/>
              </w:rPr>
              <w:tab/>
            </w:r>
            <w:r>
              <w:rPr>
                <w:noProof/>
                <w:webHidden/>
              </w:rPr>
              <w:fldChar w:fldCharType="begin"/>
            </w:r>
            <w:r>
              <w:rPr>
                <w:noProof/>
                <w:webHidden/>
              </w:rPr>
              <w:instrText xml:space="preserve"> PAGEREF _Toc200225937 \h </w:instrText>
            </w:r>
            <w:r>
              <w:rPr>
                <w:noProof/>
                <w:webHidden/>
              </w:rPr>
            </w:r>
            <w:r>
              <w:rPr>
                <w:noProof/>
                <w:webHidden/>
              </w:rPr>
              <w:fldChar w:fldCharType="separate"/>
            </w:r>
            <w:r>
              <w:rPr>
                <w:noProof/>
                <w:webHidden/>
              </w:rPr>
              <w:t>4</w:t>
            </w:r>
            <w:r>
              <w:rPr>
                <w:noProof/>
                <w:webHidden/>
              </w:rPr>
              <w:fldChar w:fldCharType="end"/>
            </w:r>
          </w:hyperlink>
        </w:p>
        <w:p w14:paraId="770938D3" w14:textId="02B8E62E" w:rsidR="00842F16" w:rsidRDefault="00842F16">
          <w:pPr>
            <w:pStyle w:val="TOC2"/>
            <w:tabs>
              <w:tab w:val="left" w:pos="1440"/>
              <w:tab w:val="right" w:leader="dot" w:pos="9019"/>
            </w:tabs>
            <w:rPr>
              <w:rFonts w:asciiTheme="minorHAnsi" w:eastAsiaTheme="minorEastAsia" w:hAnsiTheme="minorHAnsi" w:cstheme="minorBidi"/>
              <w:noProof/>
              <w:kern w:val="2"/>
              <w:lang w:eastAsia="en-US"/>
              <w14:ligatures w14:val="standardContextual"/>
            </w:rPr>
          </w:pPr>
          <w:hyperlink w:anchor="_Toc200225938" w:history="1">
            <w:r w:rsidRPr="00C93C2D">
              <w:rPr>
                <w:rStyle w:val="Hyperlink"/>
                <w:b/>
                <w:bCs/>
                <w:noProof/>
              </w:rPr>
              <w:t>3.</w:t>
            </w:r>
            <w:r>
              <w:rPr>
                <w:rFonts w:asciiTheme="minorHAnsi" w:eastAsiaTheme="minorEastAsia" w:hAnsiTheme="minorHAnsi" w:cstheme="minorBidi"/>
                <w:noProof/>
                <w:kern w:val="2"/>
                <w:lang w:eastAsia="en-US"/>
                <w14:ligatures w14:val="standardContextual"/>
              </w:rPr>
              <w:tab/>
            </w:r>
            <w:r w:rsidRPr="00C93C2D">
              <w:rPr>
                <w:rStyle w:val="Hyperlink"/>
                <w:b/>
                <w:bCs/>
                <w:noProof/>
              </w:rPr>
              <w:t>Visualisation 2: Green and Inventive – Technology Growth by Country (2000–2011)</w:t>
            </w:r>
            <w:r>
              <w:rPr>
                <w:noProof/>
                <w:webHidden/>
              </w:rPr>
              <w:tab/>
            </w:r>
            <w:r>
              <w:rPr>
                <w:noProof/>
                <w:webHidden/>
              </w:rPr>
              <w:fldChar w:fldCharType="begin"/>
            </w:r>
            <w:r>
              <w:rPr>
                <w:noProof/>
                <w:webHidden/>
              </w:rPr>
              <w:instrText xml:space="preserve"> PAGEREF _Toc200225938 \h </w:instrText>
            </w:r>
            <w:r>
              <w:rPr>
                <w:noProof/>
                <w:webHidden/>
              </w:rPr>
            </w:r>
            <w:r>
              <w:rPr>
                <w:noProof/>
                <w:webHidden/>
              </w:rPr>
              <w:fldChar w:fldCharType="separate"/>
            </w:r>
            <w:r>
              <w:rPr>
                <w:noProof/>
                <w:webHidden/>
              </w:rPr>
              <w:t>8</w:t>
            </w:r>
            <w:r>
              <w:rPr>
                <w:noProof/>
                <w:webHidden/>
              </w:rPr>
              <w:fldChar w:fldCharType="end"/>
            </w:r>
          </w:hyperlink>
        </w:p>
        <w:p w14:paraId="37D5F672" w14:textId="1AD938CD" w:rsidR="00842F16" w:rsidRDefault="00842F16">
          <w:pPr>
            <w:pStyle w:val="TOC2"/>
            <w:tabs>
              <w:tab w:val="left" w:pos="1440"/>
              <w:tab w:val="right" w:leader="dot" w:pos="9019"/>
            </w:tabs>
            <w:rPr>
              <w:rFonts w:asciiTheme="minorHAnsi" w:eastAsiaTheme="minorEastAsia" w:hAnsiTheme="minorHAnsi" w:cstheme="minorBidi"/>
              <w:noProof/>
              <w:kern w:val="2"/>
              <w:lang w:eastAsia="en-US"/>
              <w14:ligatures w14:val="standardContextual"/>
            </w:rPr>
          </w:pPr>
          <w:hyperlink w:anchor="_Toc200225939" w:history="1">
            <w:r w:rsidRPr="00C93C2D">
              <w:rPr>
                <w:rStyle w:val="Hyperlink"/>
                <w:b/>
                <w:bCs/>
                <w:noProof/>
              </w:rPr>
              <w:t>4.</w:t>
            </w:r>
            <w:r>
              <w:rPr>
                <w:rFonts w:asciiTheme="minorHAnsi" w:eastAsiaTheme="minorEastAsia" w:hAnsiTheme="minorHAnsi" w:cstheme="minorBidi"/>
                <w:noProof/>
                <w:kern w:val="2"/>
                <w:lang w:eastAsia="en-US"/>
                <w14:ligatures w14:val="standardContextual"/>
              </w:rPr>
              <w:tab/>
            </w:r>
            <w:r w:rsidRPr="00C93C2D">
              <w:rPr>
                <w:rStyle w:val="Hyperlink"/>
                <w:b/>
                <w:bCs/>
                <w:noProof/>
              </w:rPr>
              <w:t>Visualisation 3: Share of Environmental Patents (2000–2017)</w:t>
            </w:r>
            <w:r>
              <w:rPr>
                <w:noProof/>
                <w:webHidden/>
              </w:rPr>
              <w:tab/>
            </w:r>
            <w:r>
              <w:rPr>
                <w:noProof/>
                <w:webHidden/>
              </w:rPr>
              <w:fldChar w:fldCharType="begin"/>
            </w:r>
            <w:r>
              <w:rPr>
                <w:noProof/>
                <w:webHidden/>
              </w:rPr>
              <w:instrText xml:space="preserve"> PAGEREF _Toc200225939 \h </w:instrText>
            </w:r>
            <w:r>
              <w:rPr>
                <w:noProof/>
                <w:webHidden/>
              </w:rPr>
            </w:r>
            <w:r>
              <w:rPr>
                <w:noProof/>
                <w:webHidden/>
              </w:rPr>
              <w:fldChar w:fldCharType="separate"/>
            </w:r>
            <w:r>
              <w:rPr>
                <w:noProof/>
                <w:webHidden/>
              </w:rPr>
              <w:t>11</w:t>
            </w:r>
            <w:r>
              <w:rPr>
                <w:noProof/>
                <w:webHidden/>
              </w:rPr>
              <w:fldChar w:fldCharType="end"/>
            </w:r>
          </w:hyperlink>
        </w:p>
        <w:p w14:paraId="652B6E68" w14:textId="265C31FB" w:rsidR="00157AA4" w:rsidRDefault="00157AA4">
          <w:r>
            <w:rPr>
              <w:b/>
              <w:bCs/>
              <w:noProof/>
            </w:rPr>
            <w:fldChar w:fldCharType="end"/>
          </w:r>
        </w:p>
      </w:sdtContent>
    </w:sdt>
    <w:p w14:paraId="5021F646" w14:textId="378C30F1" w:rsidR="009E4ECC" w:rsidRPr="00A12BCB" w:rsidRDefault="009E4ECC">
      <w:pPr>
        <w:spacing w:after="160" w:line="278" w:lineRule="auto"/>
        <w:ind w:firstLine="0"/>
      </w:pPr>
      <w:r w:rsidRPr="00A12BCB">
        <w:br w:type="page"/>
      </w:r>
    </w:p>
    <w:p w14:paraId="77827244" w14:textId="1BAAE7A3" w:rsidR="00CF22BD" w:rsidRPr="00A12BCB" w:rsidRDefault="00CF22BD" w:rsidP="00A12BCB">
      <w:pPr>
        <w:pStyle w:val="Heading1"/>
        <w:rPr>
          <w:rFonts w:ascii="Times New Roman" w:hAnsi="Times New Roman" w:cs="Times New Roman"/>
          <w:b/>
          <w:bCs/>
          <w:color w:val="auto"/>
          <w:sz w:val="32"/>
          <w:szCs w:val="32"/>
        </w:rPr>
      </w:pPr>
      <w:bookmarkStart w:id="0" w:name="_Toc200225935"/>
      <w:r w:rsidRPr="00A12BCB">
        <w:rPr>
          <w:rFonts w:ascii="Times New Roman" w:hAnsi="Times New Roman" w:cs="Times New Roman"/>
          <w:b/>
          <w:bCs/>
          <w:color w:val="auto"/>
          <w:sz w:val="32"/>
          <w:szCs w:val="32"/>
        </w:rPr>
        <w:lastRenderedPageBreak/>
        <w:t xml:space="preserve">PART A - </w:t>
      </w:r>
      <w:r w:rsidR="00A12BCB" w:rsidRPr="00A12BCB">
        <w:rPr>
          <w:rFonts w:ascii="Times New Roman" w:hAnsi="Times New Roman" w:cs="Times New Roman"/>
          <w:b/>
          <w:bCs/>
          <w:color w:val="auto"/>
          <w:sz w:val="32"/>
          <w:szCs w:val="32"/>
        </w:rPr>
        <w:t>VISUALISATION CRITIQUE</w:t>
      </w:r>
      <w:bookmarkEnd w:id="0"/>
    </w:p>
    <w:p w14:paraId="3D51669B" w14:textId="10B1DDA1" w:rsidR="00A12BCB" w:rsidRPr="00A12BCB" w:rsidRDefault="00A12BCB" w:rsidP="00A12BCB">
      <w:pPr>
        <w:pStyle w:val="Heading2"/>
        <w:numPr>
          <w:ilvl w:val="0"/>
          <w:numId w:val="1"/>
        </w:numPr>
        <w:rPr>
          <w:rFonts w:ascii="Times New Roman" w:hAnsi="Times New Roman" w:cs="Times New Roman"/>
          <w:b/>
          <w:bCs/>
          <w:color w:val="auto"/>
          <w:sz w:val="28"/>
          <w:szCs w:val="28"/>
        </w:rPr>
      </w:pPr>
      <w:bookmarkStart w:id="1" w:name="_Toc200225936"/>
      <w:r w:rsidRPr="00A12BCB">
        <w:rPr>
          <w:rFonts w:ascii="Times New Roman" w:hAnsi="Times New Roman" w:cs="Times New Roman"/>
          <w:b/>
          <w:bCs/>
          <w:color w:val="auto"/>
          <w:sz w:val="28"/>
          <w:szCs w:val="28"/>
        </w:rPr>
        <w:t>Introduction</w:t>
      </w:r>
      <w:bookmarkEnd w:id="1"/>
    </w:p>
    <w:p w14:paraId="1DD6C529" w14:textId="473FD95C" w:rsidR="00CF22BD" w:rsidRPr="00A12BCB" w:rsidRDefault="00CF22BD" w:rsidP="00CF22BD">
      <w:pPr>
        <w:jc w:val="both"/>
      </w:pPr>
      <w:r w:rsidRPr="00A12BCB">
        <w:t>Environmental innovation, particularly through green technology patents, serves as a key indicator of a nation’s progress toward sustainable development. These patents not only reflect technological capabilities but also highlight economic potential and policy intentions. The OECD’s patent statistics offer a reliable basis for analyzing such trends, especially in tracking environmental innovation across various countries and timeframes.</w:t>
      </w:r>
    </w:p>
    <w:p w14:paraId="37B0152E" w14:textId="43A5317F" w:rsidR="00CF22BD" w:rsidRPr="00A12BCB" w:rsidRDefault="00CF22BD" w:rsidP="00CF22BD">
      <w:pPr>
        <w:jc w:val="both"/>
      </w:pPr>
      <w:r w:rsidRPr="00A12BCB">
        <w:t xml:space="preserve">This critique evaluates three distinct </w:t>
      </w:r>
      <w:proofErr w:type="spellStart"/>
      <w:r w:rsidRPr="00A12BCB">
        <w:t>visualisations</w:t>
      </w:r>
      <w:proofErr w:type="spellEnd"/>
      <w:r w:rsidRPr="00A12BCB">
        <w:t xml:space="preserve"> that utilize OECD data to depict aspects of green innovation. Each </w:t>
      </w:r>
      <w:proofErr w:type="spellStart"/>
      <w:r w:rsidRPr="00A12BCB">
        <w:t>visualisation</w:t>
      </w:r>
      <w:proofErr w:type="spellEnd"/>
      <w:r w:rsidRPr="00A12BCB">
        <w:t xml:space="preserve"> caters to a specific audience and employs a different visual strategy: one maps green patents across Nordic countries, another presents a global scatter plot illustrating innovation trends, and the third features a time series comparison across multiple nations. The primary aim is to assess how effectively each chart communicates insights, using established principles of data </w:t>
      </w:r>
      <w:proofErr w:type="spellStart"/>
      <w:r w:rsidRPr="00A12BCB">
        <w:t>visualisation</w:t>
      </w:r>
      <w:proofErr w:type="spellEnd"/>
      <w:r w:rsidRPr="00A12BCB">
        <w:t xml:space="preserve"> such as clarity, accuracy, perceptual design (including Gestalt principles), accessibility, and ethical representation.</w:t>
      </w:r>
    </w:p>
    <w:p w14:paraId="183E5124" w14:textId="79296218" w:rsidR="00B062DE" w:rsidRDefault="00CF22BD" w:rsidP="00CF22BD">
      <w:pPr>
        <w:jc w:val="both"/>
      </w:pPr>
      <w:r w:rsidRPr="00A12BCB">
        <w:t xml:space="preserve">Drawing upon critical </w:t>
      </w:r>
      <w:proofErr w:type="spellStart"/>
      <w:r w:rsidRPr="00A12BCB">
        <w:t>visualisation</w:t>
      </w:r>
      <w:proofErr w:type="spellEnd"/>
      <w:r w:rsidRPr="00A12BCB">
        <w:t xml:space="preserve"> frameworks like Munzner’s design triangle, the Gestalt laws of perception, and Cleveland &amp; McGill’s hierarchy of graphical effectiveness, this critique explores the strengths and limitations of each </w:t>
      </w:r>
      <w:proofErr w:type="spellStart"/>
      <w:r w:rsidRPr="00A12BCB">
        <w:t>visualisation</w:t>
      </w:r>
      <w:proofErr w:type="spellEnd"/>
      <w:r w:rsidRPr="00A12BCB">
        <w:t>. The analysis considers how visual encoding, contextual framing, and communication strategies affect the viewer’s ability to interpret and use complex environmental innovation data for informed decision-making.</w:t>
      </w:r>
    </w:p>
    <w:p w14:paraId="54E00515" w14:textId="09CA68C8" w:rsidR="00A12BCB" w:rsidRPr="007F201C" w:rsidRDefault="007F201C" w:rsidP="007F201C">
      <w:pPr>
        <w:pStyle w:val="Heading2"/>
        <w:numPr>
          <w:ilvl w:val="0"/>
          <w:numId w:val="1"/>
        </w:numPr>
        <w:rPr>
          <w:rFonts w:ascii="Times New Roman" w:hAnsi="Times New Roman" w:cs="Times New Roman"/>
          <w:b/>
          <w:bCs/>
          <w:color w:val="auto"/>
          <w:sz w:val="28"/>
          <w:szCs w:val="28"/>
        </w:rPr>
      </w:pPr>
      <w:bookmarkStart w:id="2" w:name="_Toc200225937"/>
      <w:proofErr w:type="spellStart"/>
      <w:r w:rsidRPr="007F201C">
        <w:rPr>
          <w:rFonts w:ascii="Times New Roman" w:hAnsi="Times New Roman" w:cs="Times New Roman"/>
          <w:b/>
          <w:bCs/>
          <w:color w:val="auto"/>
          <w:sz w:val="28"/>
          <w:szCs w:val="28"/>
        </w:rPr>
        <w:lastRenderedPageBreak/>
        <w:t>Visualisation</w:t>
      </w:r>
      <w:proofErr w:type="spellEnd"/>
      <w:r w:rsidRPr="007F201C">
        <w:rPr>
          <w:rFonts w:ascii="Times New Roman" w:hAnsi="Times New Roman" w:cs="Times New Roman"/>
          <w:b/>
          <w:bCs/>
          <w:color w:val="auto"/>
          <w:sz w:val="28"/>
          <w:szCs w:val="28"/>
        </w:rPr>
        <w:t xml:space="preserve"> 1: Green Patents in the Nordic Region (2006–2011)</w:t>
      </w:r>
      <w:bookmarkEnd w:id="2"/>
    </w:p>
    <w:p w14:paraId="0981C35E" w14:textId="77777777" w:rsidR="00F41E1C" w:rsidRDefault="00395E8D" w:rsidP="00F41E1C">
      <w:pPr>
        <w:keepNext/>
        <w:ind w:firstLine="0"/>
        <w:jc w:val="center"/>
      </w:pPr>
      <w:r>
        <w:rPr>
          <w:noProof/>
          <w14:ligatures w14:val="standardContextual"/>
        </w:rPr>
        <w:drawing>
          <wp:inline distT="0" distB="0" distL="0" distR="0" wp14:anchorId="66032E11" wp14:editId="6474491F">
            <wp:extent cx="5071612" cy="7195820"/>
            <wp:effectExtent l="0" t="0" r="0" b="5080"/>
            <wp:docPr id="1960429371" name="Picture 1" descr="A map of europe with different colored are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29371" name="Picture 1" descr="A map of europe with different colored areas&#10;&#10;AI-generated content may be incorrect."/>
                    <pic:cNvPicPr/>
                  </pic:nvPicPr>
                  <pic:blipFill rotWithShape="1">
                    <a:blip r:embed="rId7">
                      <a:extLst>
                        <a:ext uri="{28A0092B-C50C-407E-A947-70E740481C1C}">
                          <a14:useLocalDpi xmlns:a14="http://schemas.microsoft.com/office/drawing/2010/main" val="0"/>
                        </a:ext>
                      </a:extLst>
                    </a:blip>
                    <a:srcRect l="3673" t="1273" r="904" b="2488"/>
                    <a:stretch>
                      <a:fillRect/>
                    </a:stretch>
                  </pic:blipFill>
                  <pic:spPr bwMode="auto">
                    <a:xfrm>
                      <a:off x="0" y="0"/>
                      <a:ext cx="5072330" cy="7196839"/>
                    </a:xfrm>
                    <a:prstGeom prst="rect">
                      <a:avLst/>
                    </a:prstGeom>
                    <a:ln>
                      <a:noFill/>
                    </a:ln>
                    <a:extLst>
                      <a:ext uri="{53640926-AAD7-44D8-BBD7-CCE9431645EC}">
                        <a14:shadowObscured xmlns:a14="http://schemas.microsoft.com/office/drawing/2010/main"/>
                      </a:ext>
                    </a:extLst>
                  </pic:spPr>
                </pic:pic>
              </a:graphicData>
            </a:graphic>
          </wp:inline>
        </w:drawing>
      </w:r>
    </w:p>
    <w:p w14:paraId="0209A65C" w14:textId="7804992F" w:rsidR="00CF22BD" w:rsidRDefault="00F41E1C" w:rsidP="00F41E1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B04DB9">
        <w:t>Regional Innovation in Green Technologies</w:t>
      </w:r>
    </w:p>
    <w:p w14:paraId="0354716F" w14:textId="77777777" w:rsidR="0051277C" w:rsidRDefault="0051277C" w:rsidP="00F41E1C">
      <w:pPr>
        <w:pStyle w:val="ListParagraph"/>
        <w:numPr>
          <w:ilvl w:val="0"/>
          <w:numId w:val="4"/>
        </w:numPr>
        <w:ind w:left="567"/>
        <w:jc w:val="both"/>
      </w:pPr>
      <w:r w:rsidRPr="00F41E1C">
        <w:rPr>
          <w:b/>
          <w:bCs/>
        </w:rPr>
        <w:t>Source:</w:t>
      </w:r>
      <w:r>
        <w:t xml:space="preserve"> Nordregio (https://nordregio.org)</w:t>
      </w:r>
    </w:p>
    <w:p w14:paraId="59905D41" w14:textId="77777777" w:rsidR="0051277C" w:rsidRDefault="0051277C" w:rsidP="00F41E1C">
      <w:pPr>
        <w:pStyle w:val="ListParagraph"/>
        <w:numPr>
          <w:ilvl w:val="0"/>
          <w:numId w:val="4"/>
        </w:numPr>
        <w:ind w:left="567"/>
        <w:jc w:val="both"/>
      </w:pPr>
      <w:r w:rsidRPr="00F41E1C">
        <w:rPr>
          <w:b/>
          <w:bCs/>
        </w:rPr>
        <w:lastRenderedPageBreak/>
        <w:t>Target Audience:</w:t>
      </w:r>
      <w:r>
        <w:t xml:space="preserve"> Policymakers, regional planners, innovation agencies in Nordic countries</w:t>
      </w:r>
    </w:p>
    <w:p w14:paraId="2C222187" w14:textId="12566DB8" w:rsidR="00395E8D" w:rsidRDefault="0051277C" w:rsidP="00F41E1C">
      <w:pPr>
        <w:pStyle w:val="ListParagraph"/>
        <w:numPr>
          <w:ilvl w:val="0"/>
          <w:numId w:val="4"/>
        </w:numPr>
        <w:ind w:left="567"/>
        <w:jc w:val="both"/>
      </w:pPr>
      <w:r w:rsidRPr="00F41E1C">
        <w:rPr>
          <w:b/>
          <w:bCs/>
        </w:rPr>
        <w:t>Purpose:</w:t>
      </w:r>
      <w:r>
        <w:t xml:space="preserve"> Show spatial and thematic distribution of green patents by region, category, and growth rate</w:t>
      </w:r>
    </w:p>
    <w:tbl>
      <w:tblPr>
        <w:tblStyle w:val="TableGrid"/>
        <w:tblW w:w="0" w:type="auto"/>
        <w:tblLook w:val="04A0" w:firstRow="1" w:lastRow="0" w:firstColumn="1" w:lastColumn="0" w:noHBand="0" w:noVBand="1"/>
      </w:tblPr>
      <w:tblGrid>
        <w:gridCol w:w="2830"/>
        <w:gridCol w:w="6189"/>
      </w:tblGrid>
      <w:tr w:rsidR="00EB2B95" w14:paraId="059101CC" w14:textId="77777777" w:rsidTr="00456D5A">
        <w:tc>
          <w:tcPr>
            <w:tcW w:w="2830" w:type="dxa"/>
          </w:tcPr>
          <w:p w14:paraId="55D525AA" w14:textId="3F1E046B" w:rsidR="00EB2B95" w:rsidRPr="00F41E1C" w:rsidRDefault="00960A0F" w:rsidP="008D456F">
            <w:pPr>
              <w:ind w:firstLine="0"/>
              <w:rPr>
                <w:b/>
                <w:bCs/>
              </w:rPr>
            </w:pPr>
            <w:r w:rsidRPr="00F41E1C">
              <w:rPr>
                <w:b/>
                <w:bCs/>
              </w:rPr>
              <w:t>Data Representation</w:t>
            </w:r>
          </w:p>
        </w:tc>
        <w:tc>
          <w:tcPr>
            <w:tcW w:w="6189" w:type="dxa"/>
            <w:vAlign w:val="center"/>
          </w:tcPr>
          <w:p w14:paraId="23B0AF76" w14:textId="7D6A24A6" w:rsidR="008D456F" w:rsidRDefault="008D456F" w:rsidP="000A7559">
            <w:pPr>
              <w:ind w:firstLine="0"/>
              <w:jc w:val="both"/>
            </w:pPr>
            <w:r>
              <w:t xml:space="preserve">This </w:t>
            </w:r>
            <w:proofErr w:type="spellStart"/>
            <w:r>
              <w:t>visualisation</w:t>
            </w:r>
            <w:proofErr w:type="spellEnd"/>
            <w:r>
              <w:t xml:space="preserve"> integrates multiple data elements, including:</w:t>
            </w:r>
          </w:p>
          <w:p w14:paraId="04140F2C" w14:textId="2F6B7F41" w:rsidR="008D456F" w:rsidRDefault="008D456F" w:rsidP="000A7559">
            <w:pPr>
              <w:pStyle w:val="ListParagraph"/>
              <w:numPr>
                <w:ilvl w:val="0"/>
                <w:numId w:val="2"/>
              </w:numPr>
              <w:ind w:left="461" w:hanging="283"/>
              <w:jc w:val="both"/>
            </w:pPr>
            <w:r>
              <w:t>Patent counts for the year 2011</w:t>
            </w:r>
          </w:p>
          <w:p w14:paraId="036E7706" w14:textId="17480E96" w:rsidR="008D456F" w:rsidRDefault="008D456F" w:rsidP="000A7559">
            <w:pPr>
              <w:pStyle w:val="ListParagraph"/>
              <w:numPr>
                <w:ilvl w:val="0"/>
                <w:numId w:val="2"/>
              </w:numPr>
              <w:ind w:left="461" w:hanging="283"/>
              <w:jc w:val="both"/>
            </w:pPr>
            <w:r>
              <w:t>Average annual growth rates from 2006 to 2011</w:t>
            </w:r>
          </w:p>
          <w:p w14:paraId="7CF2BC3C" w14:textId="4C19EC77" w:rsidR="008D456F" w:rsidRDefault="008D456F" w:rsidP="000A7559">
            <w:pPr>
              <w:pStyle w:val="ListParagraph"/>
              <w:numPr>
                <w:ilvl w:val="0"/>
                <w:numId w:val="2"/>
              </w:numPr>
              <w:ind w:left="461" w:hanging="283"/>
              <w:jc w:val="both"/>
            </w:pPr>
            <w:r>
              <w:t>Regional breakdown at the sub-national level</w:t>
            </w:r>
          </w:p>
          <w:p w14:paraId="6D12CEB6" w14:textId="18126169" w:rsidR="00EB2B95" w:rsidRDefault="008D456F" w:rsidP="000A7559">
            <w:pPr>
              <w:pStyle w:val="ListParagraph"/>
              <w:numPr>
                <w:ilvl w:val="0"/>
                <w:numId w:val="2"/>
              </w:numPr>
              <w:ind w:left="461" w:hanging="283"/>
              <w:jc w:val="both"/>
            </w:pPr>
            <w:r>
              <w:t>Technological composition displayed through pie charts</w:t>
            </w:r>
          </w:p>
        </w:tc>
      </w:tr>
      <w:tr w:rsidR="00EB2B95" w14:paraId="5E785B50" w14:textId="77777777" w:rsidTr="00456D5A">
        <w:tc>
          <w:tcPr>
            <w:tcW w:w="2830" w:type="dxa"/>
          </w:tcPr>
          <w:p w14:paraId="26FEB552" w14:textId="36D16E6A" w:rsidR="00EB2B95" w:rsidRPr="00F41E1C" w:rsidRDefault="00960A0F" w:rsidP="008D456F">
            <w:pPr>
              <w:ind w:firstLine="0"/>
              <w:rPr>
                <w:b/>
                <w:bCs/>
              </w:rPr>
            </w:pPr>
            <w:proofErr w:type="spellStart"/>
            <w:r w:rsidRPr="00F41E1C">
              <w:rPr>
                <w:b/>
                <w:bCs/>
              </w:rPr>
              <w:t>Visualisation</w:t>
            </w:r>
            <w:proofErr w:type="spellEnd"/>
            <w:r w:rsidRPr="00F41E1C">
              <w:rPr>
                <w:b/>
                <w:bCs/>
              </w:rPr>
              <w:t xml:space="preserve"> Type &amp; Encoding Techniques</w:t>
            </w:r>
          </w:p>
        </w:tc>
        <w:tc>
          <w:tcPr>
            <w:tcW w:w="6189" w:type="dxa"/>
            <w:vAlign w:val="center"/>
          </w:tcPr>
          <w:p w14:paraId="3A294B66" w14:textId="77777777" w:rsidR="00456D5A" w:rsidRDefault="00456D5A" w:rsidP="000A7559">
            <w:pPr>
              <w:ind w:firstLine="0"/>
              <w:jc w:val="both"/>
            </w:pPr>
            <w:r>
              <w:t xml:space="preserve">The </w:t>
            </w:r>
            <w:proofErr w:type="spellStart"/>
            <w:r>
              <w:t>visualisation</w:t>
            </w:r>
            <w:proofErr w:type="spellEnd"/>
            <w:r>
              <w:t xml:space="preserve"> combines several graphical methods:</w:t>
            </w:r>
          </w:p>
          <w:p w14:paraId="5D3E58E7" w14:textId="77777777" w:rsidR="00456D5A" w:rsidRDefault="00456D5A" w:rsidP="000A7559">
            <w:pPr>
              <w:pStyle w:val="ListParagraph"/>
              <w:numPr>
                <w:ilvl w:val="0"/>
                <w:numId w:val="2"/>
              </w:numPr>
              <w:ind w:left="461" w:hanging="283"/>
              <w:jc w:val="both"/>
            </w:pPr>
            <w:r>
              <w:t>A choropleth map uses color gradients to indicate regional growth rates</w:t>
            </w:r>
          </w:p>
          <w:p w14:paraId="3BE56F62" w14:textId="77777777" w:rsidR="00456D5A" w:rsidRDefault="00456D5A" w:rsidP="000A7559">
            <w:pPr>
              <w:pStyle w:val="ListParagraph"/>
              <w:numPr>
                <w:ilvl w:val="0"/>
                <w:numId w:val="2"/>
              </w:numPr>
              <w:ind w:left="461" w:hanging="283"/>
              <w:jc w:val="both"/>
            </w:pPr>
            <w:r>
              <w:t>Proportional circles reflect total patent volumes based on their size</w:t>
            </w:r>
          </w:p>
          <w:p w14:paraId="147EC5D6" w14:textId="6BEED7CB" w:rsidR="00EB2B95" w:rsidRDefault="00456D5A" w:rsidP="000A7559">
            <w:pPr>
              <w:pStyle w:val="ListParagraph"/>
              <w:numPr>
                <w:ilvl w:val="0"/>
                <w:numId w:val="2"/>
              </w:numPr>
              <w:ind w:left="461" w:hanging="283"/>
              <w:jc w:val="both"/>
            </w:pPr>
            <w:r>
              <w:t>Embedded pie charts within each circle represent the share of different green technology categories through segmented color coding</w:t>
            </w:r>
          </w:p>
        </w:tc>
      </w:tr>
      <w:tr w:rsidR="00EB2B95" w14:paraId="424FF87B" w14:textId="77777777" w:rsidTr="00456D5A">
        <w:tc>
          <w:tcPr>
            <w:tcW w:w="2830" w:type="dxa"/>
          </w:tcPr>
          <w:p w14:paraId="4A53EB39" w14:textId="6ECF848F" w:rsidR="00EB2B95" w:rsidRPr="00F41E1C" w:rsidRDefault="00960A0F" w:rsidP="008D456F">
            <w:pPr>
              <w:ind w:firstLine="0"/>
              <w:rPr>
                <w:b/>
                <w:bCs/>
              </w:rPr>
            </w:pPr>
            <w:r w:rsidRPr="00F41E1C">
              <w:rPr>
                <w:b/>
                <w:bCs/>
              </w:rPr>
              <w:t>Strengths</w:t>
            </w:r>
          </w:p>
        </w:tc>
        <w:tc>
          <w:tcPr>
            <w:tcW w:w="6189" w:type="dxa"/>
            <w:vAlign w:val="center"/>
          </w:tcPr>
          <w:p w14:paraId="1EFCFAC9" w14:textId="77777777" w:rsidR="000A7559" w:rsidRDefault="000A7559" w:rsidP="00F43BCD">
            <w:pPr>
              <w:pStyle w:val="ListParagraph"/>
              <w:numPr>
                <w:ilvl w:val="0"/>
                <w:numId w:val="3"/>
              </w:numPr>
              <w:ind w:left="320" w:hanging="283"/>
              <w:jc w:val="both"/>
            </w:pPr>
            <w:r w:rsidRPr="00F43BCD">
              <w:rPr>
                <w:b/>
                <w:bCs/>
                <w:i/>
                <w:iCs/>
              </w:rPr>
              <w:t>High Information Density:</w:t>
            </w:r>
            <w:r>
              <w:t xml:space="preserve"> The integration of spatial, numerical, and categorical data provides a multidimensional perspective on innovation.</w:t>
            </w:r>
          </w:p>
          <w:p w14:paraId="6A2DA218" w14:textId="77777777" w:rsidR="000A7559" w:rsidRDefault="000A7559" w:rsidP="00F43BCD">
            <w:pPr>
              <w:pStyle w:val="ListParagraph"/>
              <w:numPr>
                <w:ilvl w:val="0"/>
                <w:numId w:val="3"/>
              </w:numPr>
              <w:ind w:left="320" w:hanging="283"/>
              <w:jc w:val="both"/>
            </w:pPr>
            <w:r w:rsidRPr="00F43BCD">
              <w:rPr>
                <w:b/>
                <w:bCs/>
                <w:i/>
                <w:iCs/>
              </w:rPr>
              <w:t>Clear Geographic Context:</w:t>
            </w:r>
            <w:r>
              <w:t xml:space="preserve"> The regional mapping effectively identifies areas with concentrated green technology development.</w:t>
            </w:r>
          </w:p>
          <w:p w14:paraId="73B071F2" w14:textId="77777777" w:rsidR="000A7559" w:rsidRDefault="000A7559" w:rsidP="00F43BCD">
            <w:pPr>
              <w:pStyle w:val="ListParagraph"/>
              <w:numPr>
                <w:ilvl w:val="0"/>
                <w:numId w:val="3"/>
              </w:numPr>
              <w:ind w:left="320" w:hanging="283"/>
              <w:jc w:val="both"/>
            </w:pPr>
            <w:r w:rsidRPr="00F43BCD">
              <w:rPr>
                <w:b/>
                <w:bCs/>
                <w:i/>
                <w:iCs/>
              </w:rPr>
              <w:t>Effective Legend Usage:</w:t>
            </w:r>
            <w:r>
              <w:t xml:space="preserve"> The legend clearly supports all encoding types, aiding interpretation.</w:t>
            </w:r>
          </w:p>
          <w:p w14:paraId="1073B769" w14:textId="53103B16" w:rsidR="00EB2B95" w:rsidRDefault="000A7559" w:rsidP="00F43BCD">
            <w:pPr>
              <w:pStyle w:val="ListParagraph"/>
              <w:numPr>
                <w:ilvl w:val="0"/>
                <w:numId w:val="3"/>
              </w:numPr>
              <w:ind w:left="320" w:hanging="283"/>
              <w:jc w:val="both"/>
            </w:pPr>
            <w:r w:rsidRPr="00F43BCD">
              <w:rPr>
                <w:b/>
                <w:bCs/>
                <w:i/>
                <w:iCs/>
              </w:rPr>
              <w:lastRenderedPageBreak/>
              <w:t xml:space="preserve">Color Gradient Intuition: </w:t>
            </w:r>
            <w:r>
              <w:t>The use of light-to-dark shading to represent growth levels is visually intuitive and aids rapid understanding.</w:t>
            </w:r>
          </w:p>
        </w:tc>
      </w:tr>
      <w:tr w:rsidR="00EB2B95" w14:paraId="483BFE38" w14:textId="77777777" w:rsidTr="00456D5A">
        <w:tc>
          <w:tcPr>
            <w:tcW w:w="2830" w:type="dxa"/>
          </w:tcPr>
          <w:p w14:paraId="10FC6F83" w14:textId="286642A8" w:rsidR="00EB2B95" w:rsidRPr="00F41E1C" w:rsidRDefault="00960A0F" w:rsidP="008D456F">
            <w:pPr>
              <w:ind w:firstLine="0"/>
              <w:rPr>
                <w:b/>
                <w:bCs/>
              </w:rPr>
            </w:pPr>
            <w:r w:rsidRPr="00F41E1C">
              <w:rPr>
                <w:b/>
                <w:bCs/>
              </w:rPr>
              <w:lastRenderedPageBreak/>
              <w:t>Weaknesses</w:t>
            </w:r>
          </w:p>
        </w:tc>
        <w:tc>
          <w:tcPr>
            <w:tcW w:w="6189" w:type="dxa"/>
            <w:vAlign w:val="center"/>
          </w:tcPr>
          <w:p w14:paraId="1C7AD3CA" w14:textId="77777777" w:rsidR="00D37386" w:rsidRPr="00D37386" w:rsidRDefault="00D37386" w:rsidP="00D37386">
            <w:pPr>
              <w:pStyle w:val="ListParagraph"/>
              <w:numPr>
                <w:ilvl w:val="0"/>
                <w:numId w:val="3"/>
              </w:numPr>
              <w:ind w:left="320" w:hanging="283"/>
              <w:jc w:val="both"/>
            </w:pPr>
            <w:r w:rsidRPr="00D37386">
              <w:rPr>
                <w:b/>
                <w:bCs/>
                <w:i/>
                <w:iCs/>
              </w:rPr>
              <w:t>Visual Overload:</w:t>
            </w:r>
            <w:r w:rsidRPr="00D37386">
              <w:t xml:space="preserve"> The use of multiple encoding techniques—color, size, and pie segmentation—can overwhelm viewers and increase cognitive effort.</w:t>
            </w:r>
          </w:p>
          <w:p w14:paraId="2F1BB357" w14:textId="77777777" w:rsidR="00D37386" w:rsidRPr="00D37386" w:rsidRDefault="00D37386" w:rsidP="00D37386">
            <w:pPr>
              <w:pStyle w:val="ListParagraph"/>
              <w:numPr>
                <w:ilvl w:val="0"/>
                <w:numId w:val="3"/>
              </w:numPr>
              <w:ind w:left="320" w:hanging="283"/>
              <w:jc w:val="both"/>
            </w:pPr>
            <w:r w:rsidRPr="00D37386">
              <w:rPr>
                <w:b/>
                <w:bCs/>
                <w:i/>
                <w:iCs/>
              </w:rPr>
              <w:t xml:space="preserve">Unreadable Small Pie Charts: </w:t>
            </w:r>
            <w:r w:rsidRPr="00D37386">
              <w:t>In regions with limited space, pie charts become too small to discern individual segments, reducing the effectiveness of categorical data representation.</w:t>
            </w:r>
          </w:p>
          <w:p w14:paraId="54BBEAF8" w14:textId="77777777" w:rsidR="00D37386" w:rsidRPr="00D37386" w:rsidRDefault="00D37386" w:rsidP="00D37386">
            <w:pPr>
              <w:pStyle w:val="ListParagraph"/>
              <w:numPr>
                <w:ilvl w:val="0"/>
                <w:numId w:val="3"/>
              </w:numPr>
              <w:ind w:left="320" w:hanging="283"/>
              <w:jc w:val="both"/>
            </w:pPr>
            <w:r w:rsidRPr="00D37386">
              <w:rPr>
                <w:b/>
                <w:bCs/>
                <w:i/>
                <w:iCs/>
              </w:rPr>
              <w:t xml:space="preserve">Color Interference: </w:t>
            </w:r>
            <w:r w:rsidRPr="00D37386">
              <w:t>The background map shading can clash with pie chart colors, which may reduce clarity—especially for color-blind viewers.</w:t>
            </w:r>
          </w:p>
          <w:p w14:paraId="3F4EAC7D" w14:textId="4832082E" w:rsidR="00EB2B95" w:rsidRDefault="00D37386" w:rsidP="00D37386">
            <w:pPr>
              <w:pStyle w:val="ListParagraph"/>
              <w:numPr>
                <w:ilvl w:val="0"/>
                <w:numId w:val="3"/>
              </w:numPr>
              <w:ind w:left="320" w:hanging="283"/>
              <w:jc w:val="both"/>
            </w:pPr>
            <w:r w:rsidRPr="00D37386">
              <w:rPr>
                <w:b/>
                <w:bCs/>
                <w:i/>
                <w:iCs/>
              </w:rPr>
              <w:t>Unclear Scaling:</w:t>
            </w:r>
            <w:r w:rsidRPr="00D37386">
              <w:t xml:space="preserve"> The proportional size of the circles does not convey quantitative differences clearly without referring back to the legend.</w:t>
            </w:r>
          </w:p>
        </w:tc>
      </w:tr>
      <w:tr w:rsidR="00EB2B95" w14:paraId="1EDBFE5A" w14:textId="77777777" w:rsidTr="00456D5A">
        <w:tc>
          <w:tcPr>
            <w:tcW w:w="2830" w:type="dxa"/>
          </w:tcPr>
          <w:p w14:paraId="409476C5" w14:textId="5134E017" w:rsidR="00EB2B95" w:rsidRPr="00F41E1C" w:rsidRDefault="00960A0F" w:rsidP="008D456F">
            <w:pPr>
              <w:ind w:firstLine="0"/>
              <w:rPr>
                <w:b/>
                <w:bCs/>
              </w:rPr>
            </w:pPr>
            <w:r w:rsidRPr="00F41E1C">
              <w:rPr>
                <w:b/>
                <w:bCs/>
              </w:rPr>
              <w:t>Application of Gestalt Principles</w:t>
            </w:r>
          </w:p>
        </w:tc>
        <w:tc>
          <w:tcPr>
            <w:tcW w:w="6189" w:type="dxa"/>
            <w:vAlign w:val="center"/>
          </w:tcPr>
          <w:p w14:paraId="4C6141B9" w14:textId="77777777" w:rsidR="001A6627" w:rsidRPr="001A6627" w:rsidRDefault="001A6627" w:rsidP="001A6627">
            <w:pPr>
              <w:pStyle w:val="ListParagraph"/>
              <w:numPr>
                <w:ilvl w:val="0"/>
                <w:numId w:val="3"/>
              </w:numPr>
              <w:ind w:left="320" w:hanging="283"/>
              <w:jc w:val="both"/>
            </w:pPr>
            <w:r w:rsidRPr="001A6627">
              <w:rPr>
                <w:b/>
                <w:bCs/>
                <w:i/>
                <w:iCs/>
              </w:rPr>
              <w:t>Proximity:</w:t>
            </w:r>
            <w:r w:rsidRPr="001A6627">
              <w:t xml:space="preserve"> The alignment of pie charts with proportional circles strengthens the connection between quantity and composition.</w:t>
            </w:r>
          </w:p>
          <w:p w14:paraId="4A232E9F" w14:textId="77777777" w:rsidR="001A6627" w:rsidRPr="001A6627" w:rsidRDefault="001A6627" w:rsidP="001A6627">
            <w:pPr>
              <w:pStyle w:val="ListParagraph"/>
              <w:numPr>
                <w:ilvl w:val="0"/>
                <w:numId w:val="3"/>
              </w:numPr>
              <w:ind w:left="320" w:hanging="283"/>
              <w:jc w:val="both"/>
            </w:pPr>
            <w:r w:rsidRPr="001A6627">
              <w:rPr>
                <w:b/>
                <w:bCs/>
                <w:i/>
                <w:iCs/>
              </w:rPr>
              <w:t>Similarity:</w:t>
            </w:r>
            <w:r w:rsidRPr="001A6627">
              <w:t xml:space="preserve"> Consistent use of color within pie segments supports recognition of shared technology types.</w:t>
            </w:r>
          </w:p>
          <w:p w14:paraId="1A9D47E6" w14:textId="42C0707D" w:rsidR="00EB2B95" w:rsidRPr="001A6627" w:rsidRDefault="001A6627" w:rsidP="001A6627">
            <w:pPr>
              <w:pStyle w:val="ListParagraph"/>
              <w:numPr>
                <w:ilvl w:val="0"/>
                <w:numId w:val="3"/>
              </w:numPr>
              <w:ind w:left="320" w:hanging="283"/>
              <w:jc w:val="both"/>
            </w:pPr>
            <w:r w:rsidRPr="001A6627">
              <w:rPr>
                <w:b/>
                <w:bCs/>
                <w:i/>
                <w:iCs/>
              </w:rPr>
              <w:t>Figure-Ground Separation:</w:t>
            </w:r>
            <w:r w:rsidRPr="001A6627">
              <w:t xml:space="preserve"> While the base map and overlays are distinguishable, visual clarity could be </w:t>
            </w:r>
            <w:r w:rsidRPr="001A6627">
              <w:lastRenderedPageBreak/>
              <w:t>enhanced through improved layering or contrast adjustments.</w:t>
            </w:r>
          </w:p>
        </w:tc>
      </w:tr>
    </w:tbl>
    <w:p w14:paraId="64E84E5A" w14:textId="77777777" w:rsidR="00F41E1C" w:rsidRPr="00F41E1C" w:rsidRDefault="00F41E1C" w:rsidP="00F41E1C">
      <w:pPr>
        <w:pStyle w:val="ListParagraph"/>
        <w:numPr>
          <w:ilvl w:val="0"/>
          <w:numId w:val="3"/>
        </w:numPr>
        <w:ind w:left="567"/>
        <w:jc w:val="both"/>
        <w:rPr>
          <w:b/>
          <w:bCs/>
        </w:rPr>
      </w:pPr>
      <w:r w:rsidRPr="00F41E1C">
        <w:rPr>
          <w:b/>
          <w:bCs/>
        </w:rPr>
        <w:lastRenderedPageBreak/>
        <w:t>Overall Evaluation</w:t>
      </w:r>
    </w:p>
    <w:p w14:paraId="7D899AE5" w14:textId="3F12B48D" w:rsidR="0051277C" w:rsidRDefault="00F41E1C" w:rsidP="00F41E1C">
      <w:pPr>
        <w:ind w:firstLine="0"/>
        <w:jc w:val="both"/>
      </w:pPr>
      <w:r>
        <w:t xml:space="preserve">This </w:t>
      </w:r>
      <w:proofErr w:type="spellStart"/>
      <w:r>
        <w:t>visualisation</w:t>
      </w:r>
      <w:proofErr w:type="spellEnd"/>
      <w:r>
        <w:t xml:space="preserve"> delivers a rich and sophisticated portrayal of environmental innovation patterns suitable for expert analysis. However, the simultaneous use of multiple encoding dimensions may reduce accessibility for non-expert audiences. Adding interactive features (such as zoom or filtering) or simplifying the number of visual elements could significantly improve user engagement and comprehension without sacrificing analytical depth.</w:t>
      </w:r>
    </w:p>
    <w:p w14:paraId="7A359925" w14:textId="23CB119C" w:rsidR="00F41E1C" w:rsidRDefault="00157AA4" w:rsidP="00157AA4">
      <w:pPr>
        <w:pStyle w:val="Heading2"/>
        <w:numPr>
          <w:ilvl w:val="0"/>
          <w:numId w:val="1"/>
        </w:numPr>
        <w:rPr>
          <w:rFonts w:ascii="Times New Roman" w:hAnsi="Times New Roman" w:cs="Times New Roman"/>
          <w:b/>
          <w:bCs/>
          <w:color w:val="auto"/>
          <w:sz w:val="28"/>
          <w:szCs w:val="28"/>
        </w:rPr>
      </w:pPr>
      <w:bookmarkStart w:id="3" w:name="_Toc200225938"/>
      <w:proofErr w:type="spellStart"/>
      <w:r w:rsidRPr="00157AA4">
        <w:rPr>
          <w:rFonts w:ascii="Times New Roman" w:hAnsi="Times New Roman" w:cs="Times New Roman"/>
          <w:b/>
          <w:bCs/>
          <w:color w:val="auto"/>
          <w:sz w:val="28"/>
          <w:szCs w:val="28"/>
        </w:rPr>
        <w:lastRenderedPageBreak/>
        <w:t>Visualisation</w:t>
      </w:r>
      <w:proofErr w:type="spellEnd"/>
      <w:r w:rsidRPr="00157AA4">
        <w:rPr>
          <w:rFonts w:ascii="Times New Roman" w:hAnsi="Times New Roman" w:cs="Times New Roman"/>
          <w:b/>
          <w:bCs/>
          <w:color w:val="auto"/>
          <w:sz w:val="28"/>
          <w:szCs w:val="28"/>
        </w:rPr>
        <w:t xml:space="preserve"> 2: Green and Inventive – Technology Growth by Country (2000–2011)</w:t>
      </w:r>
      <w:bookmarkEnd w:id="3"/>
    </w:p>
    <w:p w14:paraId="6A5174B6" w14:textId="101C127F" w:rsidR="00157AA4" w:rsidRDefault="00AC1F94" w:rsidP="00AC1F94">
      <w:pPr>
        <w:ind w:firstLine="0"/>
        <w:jc w:val="center"/>
      </w:pPr>
      <w:r>
        <w:rPr>
          <w:noProof/>
          <w14:ligatures w14:val="standardContextual"/>
        </w:rPr>
        <w:drawing>
          <wp:inline distT="0" distB="0" distL="0" distR="0" wp14:anchorId="1FFE5C05" wp14:editId="6E7484C1">
            <wp:extent cx="5733415" cy="5095875"/>
            <wp:effectExtent l="0" t="0" r="635" b="9525"/>
            <wp:docPr id="1497283418" name="Picture 2" descr="A graph of green and inventive technology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83418" name="Picture 2" descr="A graph of green and inventive technology develop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095875"/>
                    </a:xfrm>
                    <a:prstGeom prst="rect">
                      <a:avLst/>
                    </a:prstGeom>
                  </pic:spPr>
                </pic:pic>
              </a:graphicData>
            </a:graphic>
          </wp:inline>
        </w:drawing>
      </w:r>
    </w:p>
    <w:p w14:paraId="22530DC2" w14:textId="77777777" w:rsidR="00EE74F0" w:rsidRDefault="00EE74F0" w:rsidP="00EE74F0">
      <w:pPr>
        <w:pStyle w:val="ListParagraph"/>
        <w:numPr>
          <w:ilvl w:val="0"/>
          <w:numId w:val="5"/>
        </w:numPr>
        <w:ind w:left="567"/>
      </w:pPr>
      <w:r w:rsidRPr="00EE74F0">
        <w:rPr>
          <w:b/>
          <w:bCs/>
        </w:rPr>
        <w:t>Source</w:t>
      </w:r>
      <w:r w:rsidRPr="00EE74F0">
        <w:t>: OECD Green Growth Indicators</w:t>
      </w:r>
    </w:p>
    <w:p w14:paraId="185267A9" w14:textId="77777777" w:rsidR="00EE74F0" w:rsidRDefault="00EE74F0" w:rsidP="00EE74F0">
      <w:pPr>
        <w:pStyle w:val="ListParagraph"/>
        <w:numPr>
          <w:ilvl w:val="0"/>
          <w:numId w:val="5"/>
        </w:numPr>
        <w:ind w:left="567"/>
      </w:pPr>
      <w:r w:rsidRPr="00EE74F0">
        <w:rPr>
          <w:b/>
          <w:bCs/>
        </w:rPr>
        <w:t>Intended Audience</w:t>
      </w:r>
      <w:r w:rsidRPr="00EE74F0">
        <w:t>: Policy analysts, researchers in comparative innovation</w:t>
      </w:r>
    </w:p>
    <w:p w14:paraId="57AEF832" w14:textId="2C5F6D27" w:rsidR="00AC1F94" w:rsidRDefault="00EE74F0" w:rsidP="00EE74F0">
      <w:pPr>
        <w:pStyle w:val="ListParagraph"/>
        <w:numPr>
          <w:ilvl w:val="0"/>
          <w:numId w:val="5"/>
        </w:numPr>
        <w:ind w:left="567"/>
      </w:pPr>
      <w:r w:rsidRPr="00EE74F0">
        <w:rPr>
          <w:b/>
          <w:bCs/>
        </w:rPr>
        <w:t>Objective</w:t>
      </w:r>
      <w:r w:rsidRPr="00EE74F0">
        <w:t>: To assess and compare national growth trends in environmental technologies relative to overall technological development</w:t>
      </w:r>
    </w:p>
    <w:tbl>
      <w:tblPr>
        <w:tblStyle w:val="TableGrid"/>
        <w:tblW w:w="0" w:type="auto"/>
        <w:tblLook w:val="04A0" w:firstRow="1" w:lastRow="0" w:firstColumn="1" w:lastColumn="0" w:noHBand="0" w:noVBand="1"/>
      </w:tblPr>
      <w:tblGrid>
        <w:gridCol w:w="2830"/>
        <w:gridCol w:w="6189"/>
      </w:tblGrid>
      <w:tr w:rsidR="00EE74F0" w14:paraId="3C12B6D4" w14:textId="77777777" w:rsidTr="00692020">
        <w:tc>
          <w:tcPr>
            <w:tcW w:w="2830" w:type="dxa"/>
          </w:tcPr>
          <w:p w14:paraId="30FDEC90" w14:textId="77777777" w:rsidR="00EE74F0" w:rsidRPr="00F41E1C" w:rsidRDefault="00EE74F0" w:rsidP="00692020">
            <w:pPr>
              <w:ind w:firstLine="0"/>
              <w:rPr>
                <w:b/>
                <w:bCs/>
              </w:rPr>
            </w:pPr>
            <w:r w:rsidRPr="00F41E1C">
              <w:rPr>
                <w:b/>
                <w:bCs/>
              </w:rPr>
              <w:t>Data Representation</w:t>
            </w:r>
          </w:p>
        </w:tc>
        <w:tc>
          <w:tcPr>
            <w:tcW w:w="6189" w:type="dxa"/>
            <w:vAlign w:val="center"/>
          </w:tcPr>
          <w:p w14:paraId="18691D91" w14:textId="35716ED0" w:rsidR="00EE74F0" w:rsidRDefault="00746739" w:rsidP="00692020">
            <w:pPr>
              <w:ind w:firstLine="0"/>
              <w:jc w:val="both"/>
            </w:pPr>
            <w:r w:rsidRPr="00746739">
              <w:t xml:space="preserve">This chart </w:t>
            </w:r>
            <w:r w:rsidRPr="00746739">
              <w:t>visualizes</w:t>
            </w:r>
            <w:r w:rsidRPr="00746739">
              <w:t xml:space="preserve"> four key data elements</w:t>
            </w:r>
            <w:r w:rsidR="00EE74F0">
              <w:t>:</w:t>
            </w:r>
          </w:p>
          <w:p w14:paraId="6AA250A2" w14:textId="77777777" w:rsidR="00746739" w:rsidRDefault="00746739" w:rsidP="00746739">
            <w:pPr>
              <w:pStyle w:val="ListParagraph"/>
              <w:numPr>
                <w:ilvl w:val="0"/>
                <w:numId w:val="2"/>
              </w:numPr>
              <w:ind w:left="461" w:hanging="283"/>
              <w:jc w:val="both"/>
            </w:pPr>
            <w:r>
              <w:t>The growth rate of environmental technologies (positioned along the X-axis)</w:t>
            </w:r>
          </w:p>
          <w:p w14:paraId="6FFC3F13" w14:textId="77777777" w:rsidR="00746739" w:rsidRDefault="00746739" w:rsidP="00746739">
            <w:pPr>
              <w:pStyle w:val="ListParagraph"/>
              <w:numPr>
                <w:ilvl w:val="0"/>
                <w:numId w:val="2"/>
              </w:numPr>
              <w:ind w:left="461" w:hanging="283"/>
              <w:jc w:val="both"/>
            </w:pPr>
            <w:r>
              <w:lastRenderedPageBreak/>
              <w:t>The growth rate of total technological innovation (Y-axis)</w:t>
            </w:r>
          </w:p>
          <w:p w14:paraId="3B0CAF25" w14:textId="77777777" w:rsidR="00746739" w:rsidRDefault="00746739" w:rsidP="00746739">
            <w:pPr>
              <w:pStyle w:val="ListParagraph"/>
              <w:numPr>
                <w:ilvl w:val="0"/>
                <w:numId w:val="2"/>
              </w:numPr>
              <w:ind w:left="461" w:hanging="283"/>
              <w:jc w:val="both"/>
            </w:pPr>
            <w:r>
              <w:t>Country identifiers displayed as text labels</w:t>
            </w:r>
          </w:p>
          <w:p w14:paraId="04F8138D" w14:textId="6294C67B" w:rsidR="00EE74F0" w:rsidRDefault="00746739" w:rsidP="00746739">
            <w:pPr>
              <w:pStyle w:val="ListParagraph"/>
              <w:numPr>
                <w:ilvl w:val="0"/>
                <w:numId w:val="2"/>
              </w:numPr>
              <w:ind w:left="461" w:hanging="283"/>
              <w:jc w:val="both"/>
            </w:pPr>
            <w:r>
              <w:t>A visual emphasis on nations where environmental innovation exceeds general technological growth</w:t>
            </w:r>
          </w:p>
        </w:tc>
      </w:tr>
      <w:tr w:rsidR="00EE74F0" w14:paraId="29E302B0" w14:textId="77777777" w:rsidTr="00692020">
        <w:tc>
          <w:tcPr>
            <w:tcW w:w="2830" w:type="dxa"/>
          </w:tcPr>
          <w:p w14:paraId="34FCBC1B" w14:textId="77777777" w:rsidR="00EE74F0" w:rsidRPr="00F41E1C" w:rsidRDefault="00EE74F0" w:rsidP="00692020">
            <w:pPr>
              <w:ind w:firstLine="0"/>
              <w:rPr>
                <w:b/>
                <w:bCs/>
              </w:rPr>
            </w:pPr>
            <w:proofErr w:type="spellStart"/>
            <w:r w:rsidRPr="00F41E1C">
              <w:rPr>
                <w:b/>
                <w:bCs/>
              </w:rPr>
              <w:lastRenderedPageBreak/>
              <w:t>Visualisation</w:t>
            </w:r>
            <w:proofErr w:type="spellEnd"/>
            <w:r w:rsidRPr="00F41E1C">
              <w:rPr>
                <w:b/>
                <w:bCs/>
              </w:rPr>
              <w:t xml:space="preserve"> Type &amp; Encoding Techniques</w:t>
            </w:r>
          </w:p>
        </w:tc>
        <w:tc>
          <w:tcPr>
            <w:tcW w:w="6189" w:type="dxa"/>
            <w:vAlign w:val="center"/>
          </w:tcPr>
          <w:p w14:paraId="5EC93086" w14:textId="7B6071D6" w:rsidR="00EE74F0" w:rsidRDefault="003D04F3" w:rsidP="00692020">
            <w:pPr>
              <w:ind w:firstLine="0"/>
              <w:jc w:val="both"/>
            </w:pPr>
            <w:r w:rsidRPr="003D04F3">
              <w:t xml:space="preserve">The </w:t>
            </w:r>
            <w:proofErr w:type="spellStart"/>
            <w:r w:rsidRPr="003D04F3">
              <w:t>visualisation</w:t>
            </w:r>
            <w:proofErr w:type="spellEnd"/>
            <w:r w:rsidRPr="003D04F3">
              <w:t xml:space="preserve"> uses a scatter plot format to depict two-dimensional growth comparisons</w:t>
            </w:r>
            <w:r>
              <w:t>:</w:t>
            </w:r>
          </w:p>
          <w:p w14:paraId="3C1FD4FC" w14:textId="77777777" w:rsidR="003D04F3" w:rsidRDefault="003D04F3" w:rsidP="003D04F3">
            <w:pPr>
              <w:pStyle w:val="ListParagraph"/>
              <w:numPr>
                <w:ilvl w:val="0"/>
                <w:numId w:val="2"/>
              </w:numPr>
              <w:ind w:left="461" w:hanging="283"/>
              <w:jc w:val="both"/>
            </w:pPr>
            <w:r>
              <w:t xml:space="preserve">Lightbulb icons serve as data markers, </w:t>
            </w:r>
            <w:proofErr w:type="spellStart"/>
            <w:r>
              <w:t>symbolising</w:t>
            </w:r>
            <w:proofErr w:type="spellEnd"/>
            <w:r>
              <w:t xml:space="preserve"> technological innovation</w:t>
            </w:r>
          </w:p>
          <w:p w14:paraId="2C3A8F68" w14:textId="77777777" w:rsidR="003D04F3" w:rsidRDefault="003D04F3" w:rsidP="003D04F3">
            <w:pPr>
              <w:pStyle w:val="ListParagraph"/>
              <w:numPr>
                <w:ilvl w:val="0"/>
                <w:numId w:val="2"/>
              </w:numPr>
              <w:ind w:left="461" w:hanging="283"/>
              <w:jc w:val="both"/>
            </w:pPr>
            <w:r>
              <w:t>Color coding: Green icons indicate countries where green technology growth is higher than total innovation growth</w:t>
            </w:r>
          </w:p>
          <w:p w14:paraId="613E30CD" w14:textId="45D592BA" w:rsidR="00EE74F0" w:rsidRDefault="003D04F3" w:rsidP="003D04F3">
            <w:pPr>
              <w:pStyle w:val="ListParagraph"/>
              <w:numPr>
                <w:ilvl w:val="0"/>
                <w:numId w:val="2"/>
              </w:numPr>
              <w:ind w:left="461" w:hanging="283"/>
              <w:jc w:val="both"/>
            </w:pPr>
            <w:r>
              <w:t>Labels: Country names are added to identify each data point</w:t>
            </w:r>
          </w:p>
        </w:tc>
      </w:tr>
      <w:tr w:rsidR="00EE74F0" w14:paraId="0FD702D5" w14:textId="77777777" w:rsidTr="00692020">
        <w:tc>
          <w:tcPr>
            <w:tcW w:w="2830" w:type="dxa"/>
          </w:tcPr>
          <w:p w14:paraId="04EAE817" w14:textId="77777777" w:rsidR="00EE74F0" w:rsidRPr="00F41E1C" w:rsidRDefault="00EE74F0" w:rsidP="00692020">
            <w:pPr>
              <w:ind w:firstLine="0"/>
              <w:rPr>
                <w:b/>
                <w:bCs/>
              </w:rPr>
            </w:pPr>
            <w:r w:rsidRPr="00F41E1C">
              <w:rPr>
                <w:b/>
                <w:bCs/>
              </w:rPr>
              <w:t>Strengths</w:t>
            </w:r>
          </w:p>
        </w:tc>
        <w:tc>
          <w:tcPr>
            <w:tcW w:w="6189" w:type="dxa"/>
            <w:vAlign w:val="center"/>
          </w:tcPr>
          <w:p w14:paraId="337EC58B" w14:textId="77777777" w:rsidR="00FC6C55" w:rsidRPr="00FC6C55" w:rsidRDefault="00FC6C55" w:rsidP="00FC6C55">
            <w:pPr>
              <w:pStyle w:val="ListParagraph"/>
              <w:numPr>
                <w:ilvl w:val="0"/>
                <w:numId w:val="3"/>
              </w:numPr>
              <w:ind w:left="320" w:hanging="283"/>
              <w:jc w:val="both"/>
            </w:pPr>
            <w:r w:rsidRPr="00FC6C55">
              <w:rPr>
                <w:b/>
                <w:bCs/>
                <w:i/>
                <w:iCs/>
              </w:rPr>
              <w:t>Effective Quantitative Comparison</w:t>
            </w:r>
            <w:r w:rsidRPr="00FC6C55">
              <w:t xml:space="preserve">: The scatter plot structure is highly appropriate for </w:t>
            </w:r>
            <w:proofErr w:type="spellStart"/>
            <w:r w:rsidRPr="00FC6C55">
              <w:t>visualising</w:t>
            </w:r>
            <w:proofErr w:type="spellEnd"/>
            <w:r w:rsidRPr="00FC6C55">
              <w:t xml:space="preserve"> relationships between two continuous variables.</w:t>
            </w:r>
          </w:p>
          <w:p w14:paraId="216D3FDD" w14:textId="77777777" w:rsidR="00FC6C55" w:rsidRPr="00FC6C55" w:rsidRDefault="00FC6C55" w:rsidP="00FC6C55">
            <w:pPr>
              <w:pStyle w:val="ListParagraph"/>
              <w:numPr>
                <w:ilvl w:val="0"/>
                <w:numId w:val="3"/>
              </w:numPr>
              <w:ind w:left="320" w:hanging="283"/>
              <w:jc w:val="both"/>
            </w:pPr>
            <w:r w:rsidRPr="00497097">
              <w:rPr>
                <w:b/>
                <w:bCs/>
                <w:i/>
                <w:iCs/>
              </w:rPr>
              <w:t>Thematic Symbolism</w:t>
            </w:r>
            <w:r w:rsidRPr="00FC6C55">
              <w:t>: The use of lightbulb symbols reinforces the central theme of innovation, making the visual more engaging.</w:t>
            </w:r>
          </w:p>
          <w:p w14:paraId="7737B701" w14:textId="77777777" w:rsidR="00FC6C55" w:rsidRPr="00FC6C55" w:rsidRDefault="00FC6C55" w:rsidP="00FC6C55">
            <w:pPr>
              <w:pStyle w:val="ListParagraph"/>
              <w:numPr>
                <w:ilvl w:val="0"/>
                <w:numId w:val="3"/>
              </w:numPr>
              <w:ind w:left="320" w:hanging="283"/>
              <w:jc w:val="both"/>
            </w:pPr>
            <w:r w:rsidRPr="00497097">
              <w:rPr>
                <w:b/>
                <w:bCs/>
                <w:i/>
                <w:iCs/>
              </w:rPr>
              <w:t>Visual Emphasis</w:t>
            </w:r>
            <w:r w:rsidRPr="00FC6C55">
              <w:t>: Green-colored icons quickly draw the viewer’s attention to countries leading in green innovation.</w:t>
            </w:r>
          </w:p>
          <w:p w14:paraId="2697279A" w14:textId="2F74AAA2" w:rsidR="00FC6C55" w:rsidRDefault="00FC6C55" w:rsidP="00FC6C55">
            <w:pPr>
              <w:pStyle w:val="ListParagraph"/>
              <w:numPr>
                <w:ilvl w:val="0"/>
                <w:numId w:val="3"/>
              </w:numPr>
              <w:ind w:left="320" w:hanging="283"/>
              <w:jc w:val="both"/>
            </w:pPr>
            <w:r w:rsidRPr="00497097">
              <w:rPr>
                <w:b/>
                <w:bCs/>
                <w:i/>
                <w:iCs/>
              </w:rPr>
              <w:t>Supportive Annotation</w:t>
            </w:r>
            <w:r w:rsidRPr="00FC6C55">
              <w:t>: Explanatory text or captions clearly outline the purpose and findings, aiding comprehension.</w:t>
            </w:r>
          </w:p>
        </w:tc>
      </w:tr>
      <w:tr w:rsidR="00EE74F0" w14:paraId="29A4D69F" w14:textId="77777777" w:rsidTr="00692020">
        <w:tc>
          <w:tcPr>
            <w:tcW w:w="2830" w:type="dxa"/>
          </w:tcPr>
          <w:p w14:paraId="46946E95" w14:textId="77777777" w:rsidR="00EE74F0" w:rsidRPr="00F41E1C" w:rsidRDefault="00EE74F0" w:rsidP="00692020">
            <w:pPr>
              <w:ind w:firstLine="0"/>
              <w:rPr>
                <w:b/>
                <w:bCs/>
              </w:rPr>
            </w:pPr>
            <w:r w:rsidRPr="00F41E1C">
              <w:rPr>
                <w:b/>
                <w:bCs/>
              </w:rPr>
              <w:lastRenderedPageBreak/>
              <w:t>Weaknesses</w:t>
            </w:r>
          </w:p>
        </w:tc>
        <w:tc>
          <w:tcPr>
            <w:tcW w:w="6189" w:type="dxa"/>
            <w:vAlign w:val="center"/>
          </w:tcPr>
          <w:p w14:paraId="55F47E12" w14:textId="77777777" w:rsidR="00497097" w:rsidRPr="00497097" w:rsidRDefault="00497097" w:rsidP="00497097">
            <w:pPr>
              <w:pStyle w:val="ListParagraph"/>
              <w:numPr>
                <w:ilvl w:val="0"/>
                <w:numId w:val="3"/>
              </w:numPr>
              <w:ind w:left="320" w:hanging="283"/>
              <w:jc w:val="both"/>
            </w:pPr>
            <w:r w:rsidRPr="00497097">
              <w:rPr>
                <w:b/>
                <w:bCs/>
                <w:i/>
                <w:iCs/>
              </w:rPr>
              <w:t>Label Clutter:</w:t>
            </w:r>
            <w:r w:rsidRPr="00497097">
              <w:t xml:space="preserve"> In areas where data points are densely clustered—especially within Europe—overlapping labels reduce readability and visual clarity.</w:t>
            </w:r>
          </w:p>
          <w:p w14:paraId="1F954E69" w14:textId="77777777" w:rsidR="00497097" w:rsidRPr="00497097" w:rsidRDefault="00497097" w:rsidP="00497097">
            <w:pPr>
              <w:pStyle w:val="ListParagraph"/>
              <w:numPr>
                <w:ilvl w:val="0"/>
                <w:numId w:val="3"/>
              </w:numPr>
              <w:ind w:left="320" w:hanging="283"/>
              <w:jc w:val="both"/>
            </w:pPr>
            <w:r w:rsidRPr="00497097">
              <w:rPr>
                <w:b/>
                <w:bCs/>
                <w:i/>
                <w:iCs/>
              </w:rPr>
              <w:t>Poor Alignment:</w:t>
            </w:r>
            <w:r w:rsidRPr="00497097">
              <w:t xml:space="preserve"> The positioning of country names often fails to clearly correspond to their respective data points.</w:t>
            </w:r>
          </w:p>
          <w:p w14:paraId="3DEDE2C5" w14:textId="77777777" w:rsidR="00497097" w:rsidRPr="00497097" w:rsidRDefault="00497097" w:rsidP="00497097">
            <w:pPr>
              <w:pStyle w:val="ListParagraph"/>
              <w:numPr>
                <w:ilvl w:val="0"/>
                <w:numId w:val="3"/>
              </w:numPr>
              <w:ind w:left="320" w:hanging="283"/>
              <w:jc w:val="both"/>
            </w:pPr>
            <w:r w:rsidRPr="00497097">
              <w:rPr>
                <w:b/>
                <w:bCs/>
                <w:i/>
                <w:iCs/>
              </w:rPr>
              <w:t>Imbalanced Axis Scaling:</w:t>
            </w:r>
            <w:r w:rsidRPr="00497097">
              <w:t xml:space="preserve"> The uneven scale between the X and Y axes may lead to distorted interpretations of comparative growth.</w:t>
            </w:r>
          </w:p>
          <w:p w14:paraId="0244EF81" w14:textId="6A216420" w:rsidR="00497097" w:rsidRDefault="00497097" w:rsidP="00287E7B">
            <w:pPr>
              <w:pStyle w:val="ListParagraph"/>
              <w:numPr>
                <w:ilvl w:val="0"/>
                <w:numId w:val="3"/>
              </w:numPr>
              <w:ind w:left="320" w:hanging="283"/>
              <w:jc w:val="both"/>
            </w:pPr>
            <w:r w:rsidRPr="00287E7B">
              <w:rPr>
                <w:b/>
                <w:bCs/>
                <w:i/>
                <w:iCs/>
              </w:rPr>
              <w:t>Lack of Interactivity:</w:t>
            </w:r>
            <w:r w:rsidRPr="00497097">
              <w:t xml:space="preserve"> While interactive features like tooltips or filters are suggested, the static design limits deeper exploration of the data.</w:t>
            </w:r>
          </w:p>
        </w:tc>
      </w:tr>
      <w:tr w:rsidR="00EE74F0" w14:paraId="4B8A9FB1" w14:textId="77777777" w:rsidTr="00692020">
        <w:tc>
          <w:tcPr>
            <w:tcW w:w="2830" w:type="dxa"/>
          </w:tcPr>
          <w:p w14:paraId="33CA526E" w14:textId="6B3ED8B2" w:rsidR="00EE74F0" w:rsidRPr="00F41E1C" w:rsidRDefault="00BF428B" w:rsidP="00692020">
            <w:pPr>
              <w:ind w:firstLine="0"/>
              <w:rPr>
                <w:b/>
                <w:bCs/>
              </w:rPr>
            </w:pPr>
            <w:r w:rsidRPr="00BF428B">
              <w:rPr>
                <w:b/>
                <w:bCs/>
              </w:rPr>
              <w:t>Design Principles in Practice</w:t>
            </w:r>
          </w:p>
        </w:tc>
        <w:tc>
          <w:tcPr>
            <w:tcW w:w="6189" w:type="dxa"/>
            <w:vAlign w:val="center"/>
          </w:tcPr>
          <w:p w14:paraId="51D366DC" w14:textId="77777777" w:rsidR="00BF428B" w:rsidRPr="00BF428B" w:rsidRDefault="00BF428B" w:rsidP="00BF428B">
            <w:pPr>
              <w:pStyle w:val="ListParagraph"/>
              <w:numPr>
                <w:ilvl w:val="0"/>
                <w:numId w:val="3"/>
              </w:numPr>
              <w:ind w:left="320" w:hanging="283"/>
              <w:jc w:val="both"/>
            </w:pPr>
            <w:r w:rsidRPr="00F001A9">
              <w:rPr>
                <w:b/>
                <w:bCs/>
                <w:i/>
                <w:iCs/>
              </w:rPr>
              <w:t>Accuracy:</w:t>
            </w:r>
            <w:r w:rsidRPr="00BF428B">
              <w:t xml:space="preserve"> The chart communicates its core message accurately but suffers from reduced interpretability due to label congestion.</w:t>
            </w:r>
          </w:p>
          <w:p w14:paraId="361DD74C" w14:textId="77777777" w:rsidR="00BF428B" w:rsidRPr="00BF428B" w:rsidRDefault="00BF428B" w:rsidP="00BF428B">
            <w:pPr>
              <w:pStyle w:val="ListParagraph"/>
              <w:numPr>
                <w:ilvl w:val="0"/>
                <w:numId w:val="3"/>
              </w:numPr>
              <w:ind w:left="320" w:hanging="283"/>
              <w:jc w:val="both"/>
            </w:pPr>
            <w:proofErr w:type="spellStart"/>
            <w:r w:rsidRPr="00F001A9">
              <w:rPr>
                <w:b/>
                <w:bCs/>
                <w:i/>
                <w:iCs/>
              </w:rPr>
              <w:t>Preattentive</w:t>
            </w:r>
            <w:proofErr w:type="spellEnd"/>
            <w:r w:rsidRPr="00F001A9">
              <w:rPr>
                <w:b/>
                <w:bCs/>
                <w:i/>
                <w:iCs/>
              </w:rPr>
              <w:t xml:space="preserve"> Processing:</w:t>
            </w:r>
            <w:r w:rsidRPr="00BF428B">
              <w:t xml:space="preserve"> Use of color and iconography enables rapid identification of key patterns and outliers.</w:t>
            </w:r>
          </w:p>
          <w:p w14:paraId="4F675DE9" w14:textId="6A796D80" w:rsidR="00BF428B" w:rsidRPr="001A6627" w:rsidRDefault="00BF428B" w:rsidP="00BF428B">
            <w:pPr>
              <w:pStyle w:val="ListParagraph"/>
              <w:numPr>
                <w:ilvl w:val="0"/>
                <w:numId w:val="3"/>
              </w:numPr>
              <w:ind w:left="320" w:hanging="283"/>
              <w:jc w:val="both"/>
            </w:pPr>
            <w:r w:rsidRPr="00F001A9">
              <w:rPr>
                <w:b/>
                <w:bCs/>
                <w:i/>
                <w:iCs/>
              </w:rPr>
              <w:t>Visual Aesthetics:</w:t>
            </w:r>
            <w:r w:rsidRPr="00BF428B">
              <w:t xml:space="preserve"> The overall design maintains a clean layout and adequate white </w:t>
            </w:r>
            <w:r w:rsidR="00FC0FDB" w:rsidRPr="00BF428B">
              <w:t>space but</w:t>
            </w:r>
            <w:r w:rsidRPr="00BF428B">
              <w:t xml:space="preserve"> lacks interactive or dynamic elements to improve user engagement.</w:t>
            </w:r>
          </w:p>
        </w:tc>
      </w:tr>
    </w:tbl>
    <w:p w14:paraId="53D8D2D6" w14:textId="77777777" w:rsidR="00F001A9" w:rsidRPr="00F41E1C" w:rsidRDefault="00F001A9" w:rsidP="00F001A9">
      <w:pPr>
        <w:pStyle w:val="ListParagraph"/>
        <w:numPr>
          <w:ilvl w:val="0"/>
          <w:numId w:val="3"/>
        </w:numPr>
        <w:ind w:left="567"/>
        <w:jc w:val="both"/>
        <w:rPr>
          <w:b/>
          <w:bCs/>
        </w:rPr>
      </w:pPr>
      <w:r w:rsidRPr="00F41E1C">
        <w:rPr>
          <w:b/>
          <w:bCs/>
        </w:rPr>
        <w:t>Overall Evaluation</w:t>
      </w:r>
    </w:p>
    <w:p w14:paraId="16B14D87" w14:textId="31242084" w:rsidR="00EE74F0" w:rsidRDefault="00FC0FDB" w:rsidP="00F001A9">
      <w:pPr>
        <w:ind w:firstLine="0"/>
        <w:jc w:val="both"/>
      </w:pPr>
      <w:r w:rsidRPr="00FC0FDB">
        <w:t xml:space="preserve">This </w:t>
      </w:r>
      <w:proofErr w:type="spellStart"/>
      <w:r w:rsidRPr="00FC0FDB">
        <w:t>visualisation</w:t>
      </w:r>
      <w:proofErr w:type="spellEnd"/>
      <w:r w:rsidRPr="00FC0FDB">
        <w:t xml:space="preserve"> demonstrates a clear and conceptually strong design for comparing national innovation trends. Its thematic consistency and use of visual cues are commendable. However, the execution is hindered by practical usability issues, particularly label overcrowding. Enhancing the chart with interactive elements (e.g., tooltips, zooming) or applying label </w:t>
      </w:r>
      <w:r w:rsidRPr="00FC0FDB">
        <w:lastRenderedPageBreak/>
        <w:t>decluttering strategies (such as grouping or toggles) would greatly improve its readability and usefulness for policy decision-making</w:t>
      </w:r>
      <w:r w:rsidR="00F001A9">
        <w:t>.</w:t>
      </w:r>
    </w:p>
    <w:p w14:paraId="4FE17692" w14:textId="77777777" w:rsidR="008A156E" w:rsidRDefault="008A156E" w:rsidP="008A156E">
      <w:pPr>
        <w:pStyle w:val="Heading2"/>
        <w:numPr>
          <w:ilvl w:val="0"/>
          <w:numId w:val="1"/>
        </w:numPr>
        <w:rPr>
          <w:rFonts w:ascii="Times New Roman" w:hAnsi="Times New Roman" w:cs="Times New Roman"/>
          <w:b/>
          <w:bCs/>
          <w:color w:val="auto"/>
          <w:sz w:val="28"/>
          <w:szCs w:val="28"/>
        </w:rPr>
      </w:pPr>
      <w:bookmarkStart w:id="4" w:name="_Toc200225939"/>
      <w:proofErr w:type="spellStart"/>
      <w:r w:rsidRPr="008A156E">
        <w:rPr>
          <w:rFonts w:ascii="Times New Roman" w:hAnsi="Times New Roman" w:cs="Times New Roman"/>
          <w:b/>
          <w:bCs/>
          <w:color w:val="auto"/>
          <w:sz w:val="28"/>
          <w:szCs w:val="28"/>
        </w:rPr>
        <w:t>Visualisation</w:t>
      </w:r>
      <w:proofErr w:type="spellEnd"/>
      <w:r w:rsidRPr="008A156E">
        <w:rPr>
          <w:rFonts w:ascii="Times New Roman" w:hAnsi="Times New Roman" w:cs="Times New Roman"/>
          <w:b/>
          <w:bCs/>
          <w:color w:val="auto"/>
          <w:sz w:val="28"/>
          <w:szCs w:val="28"/>
        </w:rPr>
        <w:t xml:space="preserve"> 3: Share of Environmental Patents (2000–2017)</w:t>
      </w:r>
      <w:bookmarkEnd w:id="4"/>
    </w:p>
    <w:p w14:paraId="7BD95C40" w14:textId="23C5F3C2" w:rsidR="002B07B1" w:rsidRPr="008A156E" w:rsidRDefault="002B07B1" w:rsidP="008639BD">
      <w:pPr>
        <w:ind w:firstLine="0"/>
        <w:jc w:val="center"/>
      </w:pPr>
      <w:r>
        <w:rPr>
          <w:noProof/>
          <w14:ligatures w14:val="standardContextual"/>
        </w:rPr>
        <w:drawing>
          <wp:inline distT="0" distB="0" distL="0" distR="0" wp14:anchorId="7C25115F" wp14:editId="721C463D">
            <wp:extent cx="5733415" cy="2789555"/>
            <wp:effectExtent l="0" t="0" r="635" b="0"/>
            <wp:docPr id="1985400078" name="Picture 3" descr="A graph of different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0078" name="Picture 3" descr="A graph of different colored lines and numbe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789555"/>
                    </a:xfrm>
                    <a:prstGeom prst="rect">
                      <a:avLst/>
                    </a:prstGeom>
                  </pic:spPr>
                </pic:pic>
              </a:graphicData>
            </a:graphic>
          </wp:inline>
        </w:drawing>
      </w:r>
    </w:p>
    <w:p w14:paraId="279CAB2D" w14:textId="77777777" w:rsidR="008A156E" w:rsidRPr="008A156E" w:rsidRDefault="008A156E" w:rsidP="008A156E">
      <w:pPr>
        <w:pStyle w:val="ListParagraph"/>
        <w:numPr>
          <w:ilvl w:val="0"/>
          <w:numId w:val="5"/>
        </w:numPr>
        <w:ind w:left="567"/>
      </w:pPr>
      <w:r w:rsidRPr="008A156E">
        <w:rPr>
          <w:b/>
          <w:bCs/>
        </w:rPr>
        <w:t>Source:</w:t>
      </w:r>
      <w:r w:rsidRPr="008A156E">
        <w:t xml:space="preserve"> MDPI, Technological Eco-Innovation (</w:t>
      </w:r>
      <w:hyperlink r:id="rId10" w:tgtFrame="_new" w:history="1">
        <w:r w:rsidRPr="008A156E">
          <w:rPr>
            <w:rFonts w:eastAsiaTheme="majorEastAsia"/>
          </w:rPr>
          <w:t>https://www.mdpi.com</w:t>
        </w:r>
      </w:hyperlink>
      <w:r w:rsidRPr="008A156E">
        <w:t>)</w:t>
      </w:r>
    </w:p>
    <w:p w14:paraId="2C732B3A" w14:textId="77777777" w:rsidR="008A156E" w:rsidRPr="008A156E" w:rsidRDefault="008A156E" w:rsidP="008A156E">
      <w:pPr>
        <w:pStyle w:val="ListParagraph"/>
        <w:numPr>
          <w:ilvl w:val="0"/>
          <w:numId w:val="5"/>
        </w:numPr>
        <w:ind w:left="567"/>
      </w:pPr>
      <w:r w:rsidRPr="008A156E">
        <w:rPr>
          <w:b/>
          <w:bCs/>
        </w:rPr>
        <w:t>Target Audience:</w:t>
      </w:r>
      <w:r w:rsidRPr="008A156E">
        <w:t xml:space="preserve"> Researchers in innovation, economists, and policy advisors</w:t>
      </w:r>
    </w:p>
    <w:p w14:paraId="178EA013" w14:textId="594E0C3D" w:rsidR="008A156E" w:rsidRPr="008A156E" w:rsidRDefault="008A156E" w:rsidP="008A156E">
      <w:pPr>
        <w:pStyle w:val="ListParagraph"/>
        <w:numPr>
          <w:ilvl w:val="0"/>
          <w:numId w:val="5"/>
        </w:numPr>
        <w:ind w:left="567"/>
      </w:pPr>
      <w:r w:rsidRPr="008A156E">
        <w:rPr>
          <w:b/>
          <w:bCs/>
        </w:rPr>
        <w:t>Purpose:</w:t>
      </w:r>
      <w:r w:rsidRPr="008A156E">
        <w:t xml:space="preserve"> To illustrate the evolution of the share of environmental patents over time in five major economies</w:t>
      </w:r>
    </w:p>
    <w:tbl>
      <w:tblPr>
        <w:tblStyle w:val="TableGrid"/>
        <w:tblW w:w="0" w:type="auto"/>
        <w:tblLook w:val="04A0" w:firstRow="1" w:lastRow="0" w:firstColumn="1" w:lastColumn="0" w:noHBand="0" w:noVBand="1"/>
      </w:tblPr>
      <w:tblGrid>
        <w:gridCol w:w="2830"/>
        <w:gridCol w:w="6189"/>
      </w:tblGrid>
      <w:tr w:rsidR="00553535" w14:paraId="65A0B5FC" w14:textId="77777777" w:rsidTr="00692020">
        <w:tc>
          <w:tcPr>
            <w:tcW w:w="2830" w:type="dxa"/>
          </w:tcPr>
          <w:p w14:paraId="7AD2F239" w14:textId="77777777" w:rsidR="00553535" w:rsidRPr="00F41E1C" w:rsidRDefault="00553535" w:rsidP="00692020">
            <w:pPr>
              <w:ind w:firstLine="0"/>
              <w:rPr>
                <w:b/>
                <w:bCs/>
              </w:rPr>
            </w:pPr>
            <w:r w:rsidRPr="00F41E1C">
              <w:rPr>
                <w:b/>
                <w:bCs/>
              </w:rPr>
              <w:t>Data Representation</w:t>
            </w:r>
          </w:p>
        </w:tc>
        <w:tc>
          <w:tcPr>
            <w:tcW w:w="6189" w:type="dxa"/>
            <w:vAlign w:val="center"/>
          </w:tcPr>
          <w:p w14:paraId="09A3682D" w14:textId="74796AEB" w:rsidR="00553535" w:rsidRDefault="00553535" w:rsidP="00692020">
            <w:pPr>
              <w:ind w:firstLine="0"/>
              <w:jc w:val="both"/>
            </w:pPr>
            <w:r w:rsidRPr="00553535">
              <w:t xml:space="preserve">This </w:t>
            </w:r>
            <w:proofErr w:type="spellStart"/>
            <w:r w:rsidRPr="00553535">
              <w:t>visualisation</w:t>
            </w:r>
            <w:proofErr w:type="spellEnd"/>
            <w:r w:rsidRPr="00553535">
              <w:t xml:space="preserve"> encompasses the following key elements</w:t>
            </w:r>
            <w:r>
              <w:t>:</w:t>
            </w:r>
          </w:p>
          <w:p w14:paraId="494D2CAD" w14:textId="77777777" w:rsidR="008639BD" w:rsidRDefault="008639BD" w:rsidP="008639BD">
            <w:pPr>
              <w:pStyle w:val="ListParagraph"/>
              <w:numPr>
                <w:ilvl w:val="0"/>
                <w:numId w:val="2"/>
              </w:numPr>
              <w:ind w:left="461" w:hanging="283"/>
              <w:jc w:val="both"/>
            </w:pPr>
            <w:r>
              <w:t>A time span covering the years 2000 to 2017</w:t>
            </w:r>
          </w:p>
          <w:p w14:paraId="30B7C1A4" w14:textId="77777777" w:rsidR="008639BD" w:rsidRDefault="008639BD" w:rsidP="008639BD">
            <w:pPr>
              <w:pStyle w:val="ListParagraph"/>
              <w:numPr>
                <w:ilvl w:val="0"/>
                <w:numId w:val="2"/>
              </w:numPr>
              <w:ind w:left="461" w:hanging="283"/>
              <w:jc w:val="both"/>
            </w:pPr>
            <w:r>
              <w:t>Five countries: Germany, Japan, South Korea, the United States, and China</w:t>
            </w:r>
          </w:p>
          <w:p w14:paraId="148C6D6C" w14:textId="77777777" w:rsidR="008639BD" w:rsidRDefault="008639BD" w:rsidP="008639BD">
            <w:pPr>
              <w:pStyle w:val="ListParagraph"/>
              <w:numPr>
                <w:ilvl w:val="0"/>
                <w:numId w:val="2"/>
              </w:numPr>
              <w:ind w:left="461" w:hanging="283"/>
              <w:jc w:val="both"/>
            </w:pPr>
            <w:r>
              <w:t>The core metric displayed is the percentage share of environmental patents</w:t>
            </w:r>
          </w:p>
          <w:p w14:paraId="48EDCB65" w14:textId="6A4E8E97" w:rsidR="00553535" w:rsidRDefault="008639BD" w:rsidP="008639BD">
            <w:pPr>
              <w:pStyle w:val="ListParagraph"/>
              <w:numPr>
                <w:ilvl w:val="0"/>
                <w:numId w:val="2"/>
              </w:numPr>
              <w:ind w:left="461" w:hanging="283"/>
              <w:jc w:val="both"/>
            </w:pPr>
            <w:r>
              <w:t>A supplemental data table beneath the chart provides exact numerical values for each year and country</w:t>
            </w:r>
          </w:p>
        </w:tc>
      </w:tr>
      <w:tr w:rsidR="00553535" w14:paraId="471920E1" w14:textId="77777777" w:rsidTr="00692020">
        <w:tc>
          <w:tcPr>
            <w:tcW w:w="2830" w:type="dxa"/>
          </w:tcPr>
          <w:p w14:paraId="61726BA6" w14:textId="77777777" w:rsidR="00553535" w:rsidRPr="00F41E1C" w:rsidRDefault="00553535" w:rsidP="00692020">
            <w:pPr>
              <w:ind w:firstLine="0"/>
              <w:rPr>
                <w:b/>
                <w:bCs/>
              </w:rPr>
            </w:pPr>
            <w:proofErr w:type="spellStart"/>
            <w:r w:rsidRPr="00F41E1C">
              <w:rPr>
                <w:b/>
                <w:bCs/>
              </w:rPr>
              <w:lastRenderedPageBreak/>
              <w:t>Visualisation</w:t>
            </w:r>
            <w:proofErr w:type="spellEnd"/>
            <w:r w:rsidRPr="00F41E1C">
              <w:rPr>
                <w:b/>
                <w:bCs/>
              </w:rPr>
              <w:t xml:space="preserve"> Type &amp; Encoding Techniques</w:t>
            </w:r>
          </w:p>
        </w:tc>
        <w:tc>
          <w:tcPr>
            <w:tcW w:w="6189" w:type="dxa"/>
            <w:vAlign w:val="center"/>
          </w:tcPr>
          <w:p w14:paraId="7D9896BE" w14:textId="77777777" w:rsidR="00553535" w:rsidRDefault="00553535" w:rsidP="00692020">
            <w:pPr>
              <w:ind w:firstLine="0"/>
              <w:jc w:val="both"/>
            </w:pPr>
            <w:r w:rsidRPr="003D04F3">
              <w:t xml:space="preserve">The </w:t>
            </w:r>
            <w:proofErr w:type="spellStart"/>
            <w:r w:rsidRPr="003D04F3">
              <w:t>visualisation</w:t>
            </w:r>
            <w:proofErr w:type="spellEnd"/>
            <w:r w:rsidRPr="003D04F3">
              <w:t xml:space="preserve"> uses a scatter plot format to depict two-dimensional growth comparisons</w:t>
            </w:r>
            <w:r>
              <w:t>:</w:t>
            </w:r>
          </w:p>
          <w:p w14:paraId="1C502DB0" w14:textId="77777777" w:rsidR="00E94F7E" w:rsidRPr="00E94F7E" w:rsidRDefault="00E94F7E" w:rsidP="00E94F7E">
            <w:pPr>
              <w:pStyle w:val="ListParagraph"/>
              <w:numPr>
                <w:ilvl w:val="0"/>
                <w:numId w:val="2"/>
              </w:numPr>
              <w:ind w:left="461" w:hanging="283"/>
              <w:jc w:val="both"/>
            </w:pPr>
            <w:r w:rsidRPr="00E94F7E">
              <w:t>Line chart: Tracks annual trends in environmental patent shares across countries</w:t>
            </w:r>
          </w:p>
          <w:p w14:paraId="4AF57807" w14:textId="77777777" w:rsidR="00E94F7E" w:rsidRPr="00E94F7E" w:rsidRDefault="00E94F7E" w:rsidP="00E94F7E">
            <w:pPr>
              <w:pStyle w:val="ListParagraph"/>
              <w:numPr>
                <w:ilvl w:val="0"/>
                <w:numId w:val="2"/>
              </w:numPr>
              <w:ind w:left="461" w:hanging="283"/>
              <w:jc w:val="both"/>
            </w:pPr>
            <w:r w:rsidRPr="00E94F7E">
              <w:t>Color-coded lines: Each country is represented by a distinct line color</w:t>
            </w:r>
          </w:p>
          <w:p w14:paraId="460A7C22" w14:textId="77777777" w:rsidR="00E94F7E" w:rsidRPr="00E94F7E" w:rsidRDefault="00E94F7E" w:rsidP="00E94F7E">
            <w:pPr>
              <w:pStyle w:val="ListParagraph"/>
              <w:numPr>
                <w:ilvl w:val="0"/>
                <w:numId w:val="2"/>
              </w:numPr>
              <w:ind w:left="461" w:hanging="283"/>
              <w:jc w:val="both"/>
            </w:pPr>
            <w:r w:rsidRPr="00E94F7E">
              <w:t>Legend: Identifies each country's line via color association</w:t>
            </w:r>
          </w:p>
          <w:p w14:paraId="0DC7DA94" w14:textId="1B490B28" w:rsidR="00553535" w:rsidRDefault="00E94F7E" w:rsidP="00E94F7E">
            <w:pPr>
              <w:pStyle w:val="ListParagraph"/>
              <w:numPr>
                <w:ilvl w:val="0"/>
                <w:numId w:val="2"/>
              </w:numPr>
              <w:ind w:left="461" w:hanging="283"/>
              <w:jc w:val="both"/>
            </w:pPr>
            <w:r w:rsidRPr="00E94F7E">
              <w:t>Data table: Serves as a precise numerical reference for each plotted data point</w:t>
            </w:r>
          </w:p>
        </w:tc>
      </w:tr>
      <w:tr w:rsidR="00553535" w14:paraId="64E1C548" w14:textId="77777777" w:rsidTr="00692020">
        <w:tc>
          <w:tcPr>
            <w:tcW w:w="2830" w:type="dxa"/>
          </w:tcPr>
          <w:p w14:paraId="2A0F2BA9" w14:textId="77777777" w:rsidR="00553535" w:rsidRPr="00F41E1C" w:rsidRDefault="00553535" w:rsidP="00692020">
            <w:pPr>
              <w:ind w:firstLine="0"/>
              <w:rPr>
                <w:b/>
                <w:bCs/>
              </w:rPr>
            </w:pPr>
            <w:r w:rsidRPr="00F41E1C">
              <w:rPr>
                <w:b/>
                <w:bCs/>
              </w:rPr>
              <w:t>Strengths</w:t>
            </w:r>
          </w:p>
        </w:tc>
        <w:tc>
          <w:tcPr>
            <w:tcW w:w="6189" w:type="dxa"/>
            <w:vAlign w:val="center"/>
          </w:tcPr>
          <w:p w14:paraId="58F1E347" w14:textId="77777777" w:rsidR="00406661" w:rsidRPr="00406661" w:rsidRDefault="00406661" w:rsidP="00406661">
            <w:pPr>
              <w:pStyle w:val="ListParagraph"/>
              <w:numPr>
                <w:ilvl w:val="0"/>
                <w:numId w:val="3"/>
              </w:numPr>
              <w:ind w:left="320" w:hanging="283"/>
              <w:jc w:val="both"/>
            </w:pPr>
            <w:r w:rsidRPr="00406661">
              <w:rPr>
                <w:b/>
                <w:bCs/>
                <w:i/>
                <w:iCs/>
              </w:rPr>
              <w:t>Effective Use of Line Chart:</w:t>
            </w:r>
            <w:r w:rsidRPr="00406661">
              <w:t xml:space="preserve"> The chart type is well-suited to depict longitudinal trends and facilitates comparison across countries.</w:t>
            </w:r>
          </w:p>
          <w:p w14:paraId="52A8FB60" w14:textId="77777777" w:rsidR="00406661" w:rsidRPr="00406661" w:rsidRDefault="00406661" w:rsidP="00406661">
            <w:pPr>
              <w:pStyle w:val="ListParagraph"/>
              <w:numPr>
                <w:ilvl w:val="0"/>
                <w:numId w:val="3"/>
              </w:numPr>
              <w:ind w:left="320" w:hanging="283"/>
              <w:jc w:val="both"/>
            </w:pPr>
            <w:r w:rsidRPr="00406661">
              <w:rPr>
                <w:b/>
                <w:bCs/>
                <w:i/>
                <w:iCs/>
              </w:rPr>
              <w:t>Dual Modal Presentation:</w:t>
            </w:r>
            <w:r w:rsidRPr="00406661">
              <w:t xml:space="preserve"> The inclusion of a numerical table enhances precision and supports users who prefer raw data.</w:t>
            </w:r>
          </w:p>
          <w:p w14:paraId="37C070E3" w14:textId="77777777" w:rsidR="00406661" w:rsidRPr="00406661" w:rsidRDefault="00406661" w:rsidP="00406661">
            <w:pPr>
              <w:pStyle w:val="ListParagraph"/>
              <w:numPr>
                <w:ilvl w:val="0"/>
                <w:numId w:val="3"/>
              </w:numPr>
              <w:ind w:left="320" w:hanging="283"/>
              <w:jc w:val="both"/>
            </w:pPr>
            <w:r w:rsidRPr="00406661">
              <w:rPr>
                <w:b/>
                <w:bCs/>
                <w:i/>
                <w:iCs/>
              </w:rPr>
              <w:t>Temporal Consistency:</w:t>
            </w:r>
            <w:r w:rsidRPr="00406661">
              <w:t xml:space="preserve"> Regular annual intervals support cognitive tracking of changes over time.</w:t>
            </w:r>
          </w:p>
          <w:p w14:paraId="648BDE73" w14:textId="6CB7743A" w:rsidR="009F3EC1" w:rsidRDefault="00406661" w:rsidP="00406661">
            <w:pPr>
              <w:pStyle w:val="ListParagraph"/>
              <w:numPr>
                <w:ilvl w:val="0"/>
                <w:numId w:val="3"/>
              </w:numPr>
              <w:ind w:left="320" w:hanging="283"/>
              <w:jc w:val="both"/>
            </w:pPr>
            <w:r w:rsidRPr="00406661">
              <w:rPr>
                <w:b/>
                <w:bCs/>
                <w:i/>
                <w:iCs/>
              </w:rPr>
              <w:t>Clear Distinction Through Color:</w:t>
            </w:r>
            <w:r w:rsidRPr="00406661">
              <w:t xml:space="preserve"> Country trends are differentiated through a consistent color legend.</w:t>
            </w:r>
          </w:p>
        </w:tc>
      </w:tr>
      <w:tr w:rsidR="00553535" w14:paraId="54D98E99" w14:textId="77777777" w:rsidTr="00692020">
        <w:tc>
          <w:tcPr>
            <w:tcW w:w="2830" w:type="dxa"/>
          </w:tcPr>
          <w:p w14:paraId="445A3D63" w14:textId="77777777" w:rsidR="00553535" w:rsidRPr="00F41E1C" w:rsidRDefault="00553535" w:rsidP="00692020">
            <w:pPr>
              <w:ind w:firstLine="0"/>
              <w:rPr>
                <w:b/>
                <w:bCs/>
              </w:rPr>
            </w:pPr>
            <w:r w:rsidRPr="00F41E1C">
              <w:rPr>
                <w:b/>
                <w:bCs/>
              </w:rPr>
              <w:t>Weaknesses</w:t>
            </w:r>
          </w:p>
        </w:tc>
        <w:tc>
          <w:tcPr>
            <w:tcW w:w="6189" w:type="dxa"/>
            <w:vAlign w:val="center"/>
          </w:tcPr>
          <w:p w14:paraId="2E8FE30A" w14:textId="77777777" w:rsidR="00EB2883" w:rsidRPr="00EB2883" w:rsidRDefault="00EB2883" w:rsidP="00EB2883">
            <w:pPr>
              <w:pStyle w:val="ListParagraph"/>
              <w:numPr>
                <w:ilvl w:val="0"/>
                <w:numId w:val="3"/>
              </w:numPr>
              <w:ind w:left="320" w:hanging="283"/>
              <w:jc w:val="both"/>
            </w:pPr>
            <w:r w:rsidRPr="00EB2883">
              <w:rPr>
                <w:b/>
                <w:bCs/>
                <w:i/>
                <w:iCs/>
              </w:rPr>
              <w:t>Limited Accessibility:</w:t>
            </w:r>
            <w:r w:rsidRPr="00EB2883">
              <w:t xml:space="preserve"> Some color combinations (e.g., orange/yellow, blue/green) may pose difficulties for viewers with color vision deficiencies.</w:t>
            </w:r>
          </w:p>
          <w:p w14:paraId="6105BD10" w14:textId="77777777" w:rsidR="00EB2883" w:rsidRPr="00EB2883" w:rsidRDefault="00EB2883" w:rsidP="00EB2883">
            <w:pPr>
              <w:pStyle w:val="ListParagraph"/>
              <w:numPr>
                <w:ilvl w:val="0"/>
                <w:numId w:val="3"/>
              </w:numPr>
              <w:ind w:left="320" w:hanging="283"/>
              <w:jc w:val="both"/>
            </w:pPr>
            <w:r w:rsidRPr="00EB2883">
              <w:rPr>
                <w:b/>
                <w:bCs/>
                <w:i/>
                <w:iCs/>
              </w:rPr>
              <w:lastRenderedPageBreak/>
              <w:t>Visual Clutter from Line Intersections:</w:t>
            </w:r>
            <w:r w:rsidRPr="00EB2883">
              <w:t xml:space="preserve"> During periods of close convergence (notably between 2008 and 2012), intersecting lines can obscure individual trends.</w:t>
            </w:r>
          </w:p>
          <w:p w14:paraId="34330520" w14:textId="77777777" w:rsidR="00EB2883" w:rsidRPr="00EB2883" w:rsidRDefault="00EB2883" w:rsidP="00EB2883">
            <w:pPr>
              <w:pStyle w:val="ListParagraph"/>
              <w:numPr>
                <w:ilvl w:val="0"/>
                <w:numId w:val="3"/>
              </w:numPr>
              <w:ind w:left="320" w:hanging="283"/>
              <w:jc w:val="both"/>
            </w:pPr>
            <w:r w:rsidRPr="00EB2883">
              <w:rPr>
                <w:b/>
                <w:bCs/>
                <w:i/>
                <w:iCs/>
              </w:rPr>
              <w:t xml:space="preserve">Lack of Contextual Explanation: </w:t>
            </w:r>
            <w:r w:rsidRPr="00EB2883">
              <w:t>Significant shifts—such as the sharp decline in several countries after 2012—are presented without annotation or contextual interpretation.</w:t>
            </w:r>
          </w:p>
          <w:p w14:paraId="270A6536" w14:textId="24586F33" w:rsidR="00EB2883" w:rsidRDefault="00EB2883" w:rsidP="00EB2883">
            <w:pPr>
              <w:pStyle w:val="ListParagraph"/>
              <w:numPr>
                <w:ilvl w:val="0"/>
                <w:numId w:val="3"/>
              </w:numPr>
              <w:ind w:left="320" w:hanging="283"/>
              <w:jc w:val="both"/>
            </w:pPr>
            <w:r w:rsidRPr="00B94221">
              <w:rPr>
                <w:b/>
                <w:bCs/>
                <w:i/>
                <w:iCs/>
              </w:rPr>
              <w:t>Suboptimal Legend Placement:</w:t>
            </w:r>
            <w:r w:rsidRPr="00EB2883">
              <w:t xml:space="preserve"> Positioning the legend at the top of the chart disrupts the natural left-to-right reading flow; a side alignment would support smoother interpretation.</w:t>
            </w:r>
          </w:p>
        </w:tc>
      </w:tr>
      <w:tr w:rsidR="00553535" w14:paraId="6CD2E50F" w14:textId="77777777" w:rsidTr="00692020">
        <w:tc>
          <w:tcPr>
            <w:tcW w:w="2830" w:type="dxa"/>
          </w:tcPr>
          <w:p w14:paraId="39407673" w14:textId="543DBEF8" w:rsidR="00553535" w:rsidRPr="00F41E1C" w:rsidRDefault="00EC07D0" w:rsidP="00692020">
            <w:pPr>
              <w:ind w:firstLine="0"/>
              <w:rPr>
                <w:b/>
                <w:bCs/>
              </w:rPr>
            </w:pPr>
            <w:r w:rsidRPr="00EC07D0">
              <w:rPr>
                <w:b/>
                <w:bCs/>
              </w:rPr>
              <w:lastRenderedPageBreak/>
              <w:t>Application of Perceptual and Ethical Principles</w:t>
            </w:r>
          </w:p>
        </w:tc>
        <w:tc>
          <w:tcPr>
            <w:tcW w:w="6189" w:type="dxa"/>
            <w:vAlign w:val="center"/>
          </w:tcPr>
          <w:p w14:paraId="352B4A88" w14:textId="77777777" w:rsidR="00EC07D0" w:rsidRPr="00EC07D0" w:rsidRDefault="00EC07D0" w:rsidP="00EC07D0">
            <w:pPr>
              <w:pStyle w:val="ListParagraph"/>
              <w:numPr>
                <w:ilvl w:val="0"/>
                <w:numId w:val="3"/>
              </w:numPr>
              <w:ind w:left="320" w:hanging="283"/>
              <w:jc w:val="both"/>
            </w:pPr>
            <w:r w:rsidRPr="00EC07D0">
              <w:rPr>
                <w:b/>
                <w:bCs/>
                <w:i/>
                <w:iCs/>
              </w:rPr>
              <w:t>Gestalt Principles – Continuity and Similarity:</w:t>
            </w:r>
            <w:r w:rsidRPr="00EC07D0">
              <w:t xml:space="preserve"> Uniform line formatting reinforces a sense of continuity and comparability between countries.</w:t>
            </w:r>
          </w:p>
          <w:p w14:paraId="58D718F9" w14:textId="77777777" w:rsidR="00EC07D0" w:rsidRPr="00EC07D0" w:rsidRDefault="00EC07D0" w:rsidP="00EC07D0">
            <w:pPr>
              <w:pStyle w:val="ListParagraph"/>
              <w:numPr>
                <w:ilvl w:val="0"/>
                <w:numId w:val="3"/>
              </w:numPr>
              <w:ind w:left="320" w:hanging="283"/>
              <w:jc w:val="both"/>
            </w:pPr>
            <w:r w:rsidRPr="00EC07D0">
              <w:rPr>
                <w:b/>
                <w:bCs/>
                <w:i/>
                <w:iCs/>
              </w:rPr>
              <w:t>Ethical Representation:</w:t>
            </w:r>
            <w:r w:rsidRPr="00EC07D0">
              <w:t xml:space="preserve"> The chart maintains an honest scale and displays the full data range, avoiding any manipulation of trends.</w:t>
            </w:r>
          </w:p>
          <w:p w14:paraId="1B001283" w14:textId="4EE5F2EE" w:rsidR="00EC07D0" w:rsidRPr="001A6627" w:rsidRDefault="00EC07D0" w:rsidP="00EC07D0">
            <w:pPr>
              <w:pStyle w:val="ListParagraph"/>
              <w:numPr>
                <w:ilvl w:val="0"/>
                <w:numId w:val="3"/>
              </w:numPr>
              <w:ind w:left="320" w:hanging="283"/>
              <w:jc w:val="both"/>
            </w:pPr>
            <w:r w:rsidRPr="00EC07D0">
              <w:rPr>
                <w:b/>
                <w:bCs/>
                <w:i/>
                <w:iCs/>
              </w:rPr>
              <w:t>Cognitive Load:</w:t>
            </w:r>
            <w:r w:rsidRPr="00EC07D0">
              <w:t xml:space="preserve"> Generally manageable, though overlapping lines may slightly increase the effort required for interpretation during dense periods.</w:t>
            </w:r>
          </w:p>
        </w:tc>
      </w:tr>
    </w:tbl>
    <w:p w14:paraId="5ACF691E" w14:textId="77777777" w:rsidR="00F50CCB" w:rsidRPr="00F41E1C" w:rsidRDefault="00F50CCB" w:rsidP="00F50CCB">
      <w:pPr>
        <w:pStyle w:val="ListParagraph"/>
        <w:numPr>
          <w:ilvl w:val="0"/>
          <w:numId w:val="3"/>
        </w:numPr>
        <w:ind w:left="567"/>
        <w:jc w:val="both"/>
        <w:rPr>
          <w:b/>
          <w:bCs/>
        </w:rPr>
      </w:pPr>
      <w:r w:rsidRPr="00F41E1C">
        <w:rPr>
          <w:b/>
          <w:bCs/>
        </w:rPr>
        <w:t>Overall Evaluation</w:t>
      </w:r>
    </w:p>
    <w:p w14:paraId="1358DDEA" w14:textId="3E8A1EF9" w:rsidR="00F001A9" w:rsidRDefault="00F50CCB" w:rsidP="008812C9">
      <w:pPr>
        <w:ind w:firstLine="0"/>
        <w:jc w:val="both"/>
      </w:pPr>
      <w:r w:rsidRPr="00F50CCB">
        <w:t xml:space="preserve">This </w:t>
      </w:r>
      <w:proofErr w:type="spellStart"/>
      <w:r w:rsidRPr="00F50CCB">
        <w:t>visualisation</w:t>
      </w:r>
      <w:proofErr w:type="spellEnd"/>
      <w:r w:rsidRPr="00F50CCB">
        <w:t xml:space="preserve"> provides a robust and transparent depiction of temporal trends in environmental innovation. Its combination of graphical and tabular elements caters to different user preferences, from exploratory to precise analysis. However, its accessibility and interpretability could be significantly improved through better color differentiation, strategic </w:t>
      </w:r>
      <w:r w:rsidRPr="00F50CCB">
        <w:lastRenderedPageBreak/>
        <w:t>legend placement, and the inclusion of contextual annotations that explain key changes or anomalies in the data.</w:t>
      </w:r>
    </w:p>
    <w:p w14:paraId="0FB376BA" w14:textId="77777777" w:rsidR="008812C9" w:rsidRPr="008812C9" w:rsidRDefault="008812C9" w:rsidP="008812C9">
      <w:pPr>
        <w:pStyle w:val="Heading2"/>
        <w:numPr>
          <w:ilvl w:val="0"/>
          <w:numId w:val="1"/>
        </w:numPr>
        <w:rPr>
          <w:rFonts w:ascii="Times New Roman" w:hAnsi="Times New Roman" w:cs="Times New Roman"/>
          <w:b/>
          <w:bCs/>
          <w:color w:val="auto"/>
          <w:sz w:val="28"/>
          <w:szCs w:val="28"/>
        </w:rPr>
      </w:pPr>
      <w:r w:rsidRPr="008812C9">
        <w:rPr>
          <w:rFonts w:ascii="Times New Roman" w:hAnsi="Times New Roman" w:cs="Times New Roman"/>
          <w:b/>
          <w:bCs/>
          <w:color w:val="auto"/>
          <w:sz w:val="28"/>
          <w:szCs w:val="28"/>
        </w:rPr>
        <w:t>Conclusion and Comparative Analysis</w:t>
      </w:r>
    </w:p>
    <w:p w14:paraId="72DE8307" w14:textId="77777777" w:rsidR="008812C9" w:rsidRDefault="008812C9" w:rsidP="008812C9">
      <w:pPr>
        <w:ind w:firstLine="0"/>
        <w:jc w:val="both"/>
      </w:pPr>
      <w:r>
        <w:t xml:space="preserve">The three </w:t>
      </w:r>
      <w:proofErr w:type="spellStart"/>
      <w:r>
        <w:t>visualisations</w:t>
      </w:r>
      <w:proofErr w:type="spellEnd"/>
      <w:r>
        <w:t xml:space="preserve"> examined each strive to communicate insights into environmental innovation using OECD patent data, and while they adopt suitable chart formats, their effectiveness varies depending on audience needs and visual design choices.</w:t>
      </w:r>
    </w:p>
    <w:p w14:paraId="5D558BFE" w14:textId="77777777" w:rsidR="008812C9" w:rsidRDefault="008812C9" w:rsidP="008812C9">
      <w:pPr>
        <w:ind w:firstLine="0"/>
        <w:jc w:val="both"/>
      </w:pPr>
      <w:r>
        <w:t xml:space="preserve">Each </w:t>
      </w:r>
      <w:proofErr w:type="spellStart"/>
      <w:r>
        <w:t>visualisation</w:t>
      </w:r>
      <w:proofErr w:type="spellEnd"/>
      <w:r>
        <w:t xml:space="preserve"> employs a chart type that aligns with its analytical purpose: a choropleth map for spatial comparison, a scatter plot for examining growth relationships, and a line chart for tracking changes over time. These structural choices demonstrate an understanding of how best to match data form with interpretative goals. Color is used consistently to </w:t>
      </w:r>
      <w:proofErr w:type="spellStart"/>
      <w:r>
        <w:t>emphasise</w:t>
      </w:r>
      <w:proofErr w:type="spellEnd"/>
      <w:r>
        <w:t xml:space="preserve"> categories and highlight key trends; however, none of the visuals address accessibility concerns, particularly for viewers with color vision deficiencies.</w:t>
      </w:r>
    </w:p>
    <w:p w14:paraId="35E87135" w14:textId="77777777" w:rsidR="008812C9" w:rsidRDefault="008812C9" w:rsidP="008812C9">
      <w:pPr>
        <w:ind w:firstLine="0"/>
        <w:jc w:val="both"/>
      </w:pPr>
      <w:r>
        <w:t xml:space="preserve">A common limitation across all three charts is the management of visual complexity. The first </w:t>
      </w:r>
      <w:proofErr w:type="spellStart"/>
      <w:r>
        <w:t>visualisation</w:t>
      </w:r>
      <w:proofErr w:type="spellEnd"/>
      <w:r>
        <w:t xml:space="preserve"> delivers extensive multidimensional information but may overwhelm general audiences due to cognitive overload. The second </w:t>
      </w:r>
      <w:proofErr w:type="spellStart"/>
      <w:r>
        <w:t>visualisation</w:t>
      </w:r>
      <w:proofErr w:type="spellEnd"/>
      <w:r>
        <w:t xml:space="preserve"> is visually compact yet suffers from label congestion, impairing clarity. The third provides a straightforward temporal view but lacks contextual annotations to explain major shifts and is hindered by color similarity and line crossings.</w:t>
      </w:r>
    </w:p>
    <w:p w14:paraId="314BC13E" w14:textId="77777777" w:rsidR="008812C9" w:rsidRDefault="008812C9" w:rsidP="008812C9">
      <w:pPr>
        <w:ind w:firstLine="0"/>
        <w:jc w:val="both"/>
      </w:pPr>
      <w:r>
        <w:t>Another shared shortcoming is the absence of interactive functionality. Features such as zoom, tooltips, or filters would significantly enhance user engagement and allow for deeper data exploration. Likewise, annotations to explain anomalies—such as the sharp declines seen after 2012—would improve interpretability.</w:t>
      </w:r>
    </w:p>
    <w:p w14:paraId="672998B1" w14:textId="39CBA67A" w:rsidR="00842F16" w:rsidRDefault="008812C9" w:rsidP="008812C9">
      <w:pPr>
        <w:ind w:firstLine="0"/>
        <w:jc w:val="both"/>
      </w:pPr>
      <w:r>
        <w:t xml:space="preserve">Overall, these </w:t>
      </w:r>
      <w:proofErr w:type="spellStart"/>
      <w:r>
        <w:t>visualisations</w:t>
      </w:r>
      <w:proofErr w:type="spellEnd"/>
      <w:r>
        <w:t xml:space="preserve"> underscore that effective data communication requires more than just accurate representation; it demands careful encoding, user-</w:t>
      </w:r>
      <w:proofErr w:type="spellStart"/>
      <w:r>
        <w:t>centred</w:t>
      </w:r>
      <w:proofErr w:type="spellEnd"/>
      <w:r>
        <w:t xml:space="preserve"> accessibility, and </w:t>
      </w:r>
      <w:r>
        <w:lastRenderedPageBreak/>
        <w:t xml:space="preserve">contextual depth. Future enhancements should </w:t>
      </w:r>
      <w:r w:rsidR="00712EF7">
        <w:t>prioritize</w:t>
      </w:r>
      <w:r>
        <w:t xml:space="preserve"> interactive design and inclusive visual strategies to better support diverse audiences and decision-making contexts.</w:t>
      </w:r>
    </w:p>
    <w:p w14:paraId="5B812961" w14:textId="77777777" w:rsidR="008812C9" w:rsidRPr="00157AA4" w:rsidRDefault="008812C9" w:rsidP="008812C9">
      <w:pPr>
        <w:ind w:firstLine="0"/>
        <w:jc w:val="both"/>
      </w:pPr>
    </w:p>
    <w:sectPr w:rsidR="008812C9" w:rsidRPr="00157AA4" w:rsidSect="00B062D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03FF2"/>
    <w:multiLevelType w:val="hybridMultilevel"/>
    <w:tmpl w:val="6D1E9486"/>
    <w:lvl w:ilvl="0" w:tplc="37EE0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E3453"/>
    <w:multiLevelType w:val="hybridMultilevel"/>
    <w:tmpl w:val="1298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53138"/>
    <w:multiLevelType w:val="hybridMultilevel"/>
    <w:tmpl w:val="0242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60992"/>
    <w:multiLevelType w:val="hybridMultilevel"/>
    <w:tmpl w:val="F828977A"/>
    <w:lvl w:ilvl="0" w:tplc="580C2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A514D"/>
    <w:multiLevelType w:val="hybridMultilevel"/>
    <w:tmpl w:val="BD3403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6867409">
    <w:abstractNumId w:val="0"/>
  </w:num>
  <w:num w:numId="2" w16cid:durableId="2115786658">
    <w:abstractNumId w:val="3"/>
  </w:num>
  <w:num w:numId="3" w16cid:durableId="1171018652">
    <w:abstractNumId w:val="4"/>
  </w:num>
  <w:num w:numId="4" w16cid:durableId="1396245844">
    <w:abstractNumId w:val="1"/>
  </w:num>
  <w:num w:numId="5" w16cid:durableId="605161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AE"/>
    <w:rsid w:val="000A7559"/>
    <w:rsid w:val="00157AA4"/>
    <w:rsid w:val="001A6627"/>
    <w:rsid w:val="00287E7B"/>
    <w:rsid w:val="002B07B1"/>
    <w:rsid w:val="002D74FE"/>
    <w:rsid w:val="003338AE"/>
    <w:rsid w:val="00395E8D"/>
    <w:rsid w:val="003D04F3"/>
    <w:rsid w:val="00406661"/>
    <w:rsid w:val="00456D5A"/>
    <w:rsid w:val="00497097"/>
    <w:rsid w:val="004A31AD"/>
    <w:rsid w:val="00503B5A"/>
    <w:rsid w:val="00506E6A"/>
    <w:rsid w:val="0051277C"/>
    <w:rsid w:val="00553535"/>
    <w:rsid w:val="00712EF7"/>
    <w:rsid w:val="00746739"/>
    <w:rsid w:val="007F201C"/>
    <w:rsid w:val="00842F16"/>
    <w:rsid w:val="008639BD"/>
    <w:rsid w:val="008812C9"/>
    <w:rsid w:val="008A156E"/>
    <w:rsid w:val="008D456F"/>
    <w:rsid w:val="00931178"/>
    <w:rsid w:val="00960A0F"/>
    <w:rsid w:val="009E4ECC"/>
    <w:rsid w:val="009F3EC1"/>
    <w:rsid w:val="00A12BCB"/>
    <w:rsid w:val="00A16E93"/>
    <w:rsid w:val="00A77FF7"/>
    <w:rsid w:val="00AC1F94"/>
    <w:rsid w:val="00B062DE"/>
    <w:rsid w:val="00B94221"/>
    <w:rsid w:val="00BF428B"/>
    <w:rsid w:val="00C47128"/>
    <w:rsid w:val="00CF22BD"/>
    <w:rsid w:val="00D37386"/>
    <w:rsid w:val="00E94F7E"/>
    <w:rsid w:val="00EB2883"/>
    <w:rsid w:val="00EB2B95"/>
    <w:rsid w:val="00EC07D0"/>
    <w:rsid w:val="00EE74F0"/>
    <w:rsid w:val="00F001A9"/>
    <w:rsid w:val="00F41E1C"/>
    <w:rsid w:val="00F43BCD"/>
    <w:rsid w:val="00F50CCB"/>
    <w:rsid w:val="00FC0FDB"/>
    <w:rsid w:val="00FC4B8B"/>
    <w:rsid w:val="00FC6C55"/>
    <w:rsid w:val="00F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7A30"/>
  <w15:chartTrackingRefBased/>
  <w15:docId w15:val="{F918CDE5-A76A-4F86-A11C-54AB747B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AE"/>
    <w:pPr>
      <w:spacing w:after="0" w:line="480" w:lineRule="auto"/>
      <w:ind w:firstLine="720"/>
    </w:pPr>
    <w:rPr>
      <w:rFonts w:eastAsia="Times New Roman" w:cs="Times New Roman"/>
      <w:kern w:val="0"/>
      <w:lang w:eastAsia="en-GB"/>
      <w14:ligatures w14:val="none"/>
    </w:rPr>
  </w:style>
  <w:style w:type="paragraph" w:styleId="Heading1">
    <w:name w:val="heading 1"/>
    <w:basedOn w:val="Normal"/>
    <w:next w:val="Normal"/>
    <w:link w:val="Heading1Char"/>
    <w:uiPriority w:val="9"/>
    <w:qFormat/>
    <w:rsid w:val="00333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8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338A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38A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38A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38A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8A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338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338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38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38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38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3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338AE"/>
    <w:pPr>
      <w:spacing w:before="160"/>
      <w:jc w:val="center"/>
    </w:pPr>
    <w:rPr>
      <w:i/>
      <w:iCs/>
      <w:color w:val="404040" w:themeColor="text1" w:themeTint="BF"/>
    </w:rPr>
  </w:style>
  <w:style w:type="character" w:customStyle="1" w:styleId="QuoteChar">
    <w:name w:val="Quote Char"/>
    <w:basedOn w:val="DefaultParagraphFont"/>
    <w:link w:val="Quote"/>
    <w:uiPriority w:val="29"/>
    <w:rsid w:val="003338AE"/>
    <w:rPr>
      <w:i/>
      <w:iCs/>
      <w:color w:val="404040" w:themeColor="text1" w:themeTint="BF"/>
    </w:rPr>
  </w:style>
  <w:style w:type="paragraph" w:styleId="ListParagraph">
    <w:name w:val="List Paragraph"/>
    <w:basedOn w:val="Normal"/>
    <w:uiPriority w:val="34"/>
    <w:qFormat/>
    <w:rsid w:val="003338AE"/>
    <w:pPr>
      <w:ind w:left="720"/>
      <w:contextualSpacing/>
    </w:pPr>
  </w:style>
  <w:style w:type="character" w:styleId="IntenseEmphasis">
    <w:name w:val="Intense Emphasis"/>
    <w:basedOn w:val="DefaultParagraphFont"/>
    <w:uiPriority w:val="21"/>
    <w:qFormat/>
    <w:rsid w:val="003338AE"/>
    <w:rPr>
      <w:i/>
      <w:iCs/>
      <w:color w:val="0F4761" w:themeColor="accent1" w:themeShade="BF"/>
    </w:rPr>
  </w:style>
  <w:style w:type="paragraph" w:styleId="IntenseQuote">
    <w:name w:val="Intense Quote"/>
    <w:basedOn w:val="Normal"/>
    <w:next w:val="Normal"/>
    <w:link w:val="IntenseQuoteChar"/>
    <w:uiPriority w:val="30"/>
    <w:qFormat/>
    <w:rsid w:val="00333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AE"/>
    <w:rPr>
      <w:i/>
      <w:iCs/>
      <w:color w:val="0F4761" w:themeColor="accent1" w:themeShade="BF"/>
    </w:rPr>
  </w:style>
  <w:style w:type="character" w:styleId="IntenseReference">
    <w:name w:val="Intense Reference"/>
    <w:basedOn w:val="DefaultParagraphFont"/>
    <w:uiPriority w:val="32"/>
    <w:qFormat/>
    <w:rsid w:val="003338AE"/>
    <w:rPr>
      <w:b/>
      <w:bCs/>
      <w:smallCaps/>
      <w:color w:val="0F4761" w:themeColor="accent1" w:themeShade="BF"/>
      <w:spacing w:val="5"/>
    </w:rPr>
  </w:style>
  <w:style w:type="character" w:styleId="Hyperlink">
    <w:name w:val="Hyperlink"/>
    <w:basedOn w:val="DefaultParagraphFont"/>
    <w:uiPriority w:val="99"/>
    <w:unhideWhenUsed/>
    <w:rsid w:val="0051277C"/>
    <w:rPr>
      <w:color w:val="467886" w:themeColor="hyperlink"/>
      <w:u w:val="single"/>
    </w:rPr>
  </w:style>
  <w:style w:type="character" w:styleId="UnresolvedMention">
    <w:name w:val="Unresolved Mention"/>
    <w:basedOn w:val="DefaultParagraphFont"/>
    <w:uiPriority w:val="99"/>
    <w:semiHidden/>
    <w:unhideWhenUsed/>
    <w:rsid w:val="0051277C"/>
    <w:rPr>
      <w:color w:val="605E5C"/>
      <w:shd w:val="clear" w:color="auto" w:fill="E1DFDD"/>
    </w:rPr>
  </w:style>
  <w:style w:type="table" w:styleId="TableGrid">
    <w:name w:val="Table Grid"/>
    <w:basedOn w:val="TableNormal"/>
    <w:uiPriority w:val="39"/>
    <w:rsid w:val="00EB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1E1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157AA4"/>
    <w:pPr>
      <w:spacing w:before="240" w:after="0" w:line="259" w:lineRule="auto"/>
      <w:ind w:firstLine="0"/>
      <w:outlineLvl w:val="9"/>
    </w:pPr>
    <w:rPr>
      <w:sz w:val="32"/>
      <w:szCs w:val="32"/>
      <w:lang w:eastAsia="en-US"/>
    </w:rPr>
  </w:style>
  <w:style w:type="paragraph" w:styleId="TOC1">
    <w:name w:val="toc 1"/>
    <w:basedOn w:val="Normal"/>
    <w:next w:val="Normal"/>
    <w:autoRedefine/>
    <w:uiPriority w:val="39"/>
    <w:unhideWhenUsed/>
    <w:rsid w:val="00157AA4"/>
    <w:pPr>
      <w:spacing w:after="100"/>
    </w:pPr>
  </w:style>
  <w:style w:type="paragraph" w:styleId="TOC2">
    <w:name w:val="toc 2"/>
    <w:basedOn w:val="Normal"/>
    <w:next w:val="Normal"/>
    <w:autoRedefine/>
    <w:uiPriority w:val="39"/>
    <w:unhideWhenUsed/>
    <w:rsid w:val="00157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128">
      <w:bodyDiv w:val="1"/>
      <w:marLeft w:val="0"/>
      <w:marRight w:val="0"/>
      <w:marTop w:val="0"/>
      <w:marBottom w:val="0"/>
      <w:divBdr>
        <w:top w:val="none" w:sz="0" w:space="0" w:color="auto"/>
        <w:left w:val="none" w:sz="0" w:space="0" w:color="auto"/>
        <w:bottom w:val="none" w:sz="0" w:space="0" w:color="auto"/>
        <w:right w:val="none" w:sz="0" w:space="0" w:color="auto"/>
      </w:divBdr>
    </w:div>
    <w:div w:id="222564671">
      <w:bodyDiv w:val="1"/>
      <w:marLeft w:val="0"/>
      <w:marRight w:val="0"/>
      <w:marTop w:val="0"/>
      <w:marBottom w:val="0"/>
      <w:divBdr>
        <w:top w:val="none" w:sz="0" w:space="0" w:color="auto"/>
        <w:left w:val="none" w:sz="0" w:space="0" w:color="auto"/>
        <w:bottom w:val="none" w:sz="0" w:space="0" w:color="auto"/>
        <w:right w:val="none" w:sz="0" w:space="0" w:color="auto"/>
      </w:divBdr>
    </w:div>
    <w:div w:id="305552672">
      <w:bodyDiv w:val="1"/>
      <w:marLeft w:val="0"/>
      <w:marRight w:val="0"/>
      <w:marTop w:val="0"/>
      <w:marBottom w:val="0"/>
      <w:divBdr>
        <w:top w:val="none" w:sz="0" w:space="0" w:color="auto"/>
        <w:left w:val="none" w:sz="0" w:space="0" w:color="auto"/>
        <w:bottom w:val="none" w:sz="0" w:space="0" w:color="auto"/>
        <w:right w:val="none" w:sz="0" w:space="0" w:color="auto"/>
      </w:divBdr>
    </w:div>
    <w:div w:id="377320410">
      <w:bodyDiv w:val="1"/>
      <w:marLeft w:val="0"/>
      <w:marRight w:val="0"/>
      <w:marTop w:val="0"/>
      <w:marBottom w:val="0"/>
      <w:divBdr>
        <w:top w:val="none" w:sz="0" w:space="0" w:color="auto"/>
        <w:left w:val="none" w:sz="0" w:space="0" w:color="auto"/>
        <w:bottom w:val="none" w:sz="0" w:space="0" w:color="auto"/>
        <w:right w:val="none" w:sz="0" w:space="0" w:color="auto"/>
      </w:divBdr>
    </w:div>
    <w:div w:id="780104366">
      <w:bodyDiv w:val="1"/>
      <w:marLeft w:val="0"/>
      <w:marRight w:val="0"/>
      <w:marTop w:val="0"/>
      <w:marBottom w:val="0"/>
      <w:divBdr>
        <w:top w:val="none" w:sz="0" w:space="0" w:color="auto"/>
        <w:left w:val="none" w:sz="0" w:space="0" w:color="auto"/>
        <w:bottom w:val="none" w:sz="0" w:space="0" w:color="auto"/>
        <w:right w:val="none" w:sz="0" w:space="0" w:color="auto"/>
      </w:divBdr>
    </w:div>
    <w:div w:id="860700574">
      <w:bodyDiv w:val="1"/>
      <w:marLeft w:val="0"/>
      <w:marRight w:val="0"/>
      <w:marTop w:val="0"/>
      <w:marBottom w:val="0"/>
      <w:divBdr>
        <w:top w:val="none" w:sz="0" w:space="0" w:color="auto"/>
        <w:left w:val="none" w:sz="0" w:space="0" w:color="auto"/>
        <w:bottom w:val="none" w:sz="0" w:space="0" w:color="auto"/>
        <w:right w:val="none" w:sz="0" w:space="0" w:color="auto"/>
      </w:divBdr>
    </w:div>
    <w:div w:id="1201477843">
      <w:bodyDiv w:val="1"/>
      <w:marLeft w:val="0"/>
      <w:marRight w:val="0"/>
      <w:marTop w:val="0"/>
      <w:marBottom w:val="0"/>
      <w:divBdr>
        <w:top w:val="none" w:sz="0" w:space="0" w:color="auto"/>
        <w:left w:val="none" w:sz="0" w:space="0" w:color="auto"/>
        <w:bottom w:val="none" w:sz="0" w:space="0" w:color="auto"/>
        <w:right w:val="none" w:sz="0" w:space="0" w:color="auto"/>
      </w:divBdr>
    </w:div>
    <w:div w:id="1268124906">
      <w:bodyDiv w:val="1"/>
      <w:marLeft w:val="0"/>
      <w:marRight w:val="0"/>
      <w:marTop w:val="0"/>
      <w:marBottom w:val="0"/>
      <w:divBdr>
        <w:top w:val="none" w:sz="0" w:space="0" w:color="auto"/>
        <w:left w:val="none" w:sz="0" w:space="0" w:color="auto"/>
        <w:bottom w:val="none" w:sz="0" w:space="0" w:color="auto"/>
        <w:right w:val="none" w:sz="0" w:space="0" w:color="auto"/>
      </w:divBdr>
    </w:div>
    <w:div w:id="1487940207">
      <w:bodyDiv w:val="1"/>
      <w:marLeft w:val="0"/>
      <w:marRight w:val="0"/>
      <w:marTop w:val="0"/>
      <w:marBottom w:val="0"/>
      <w:divBdr>
        <w:top w:val="none" w:sz="0" w:space="0" w:color="auto"/>
        <w:left w:val="none" w:sz="0" w:space="0" w:color="auto"/>
        <w:bottom w:val="none" w:sz="0" w:space="0" w:color="auto"/>
        <w:right w:val="none" w:sz="0" w:space="0" w:color="auto"/>
      </w:divBdr>
    </w:div>
    <w:div w:id="1518343997">
      <w:bodyDiv w:val="1"/>
      <w:marLeft w:val="0"/>
      <w:marRight w:val="0"/>
      <w:marTop w:val="0"/>
      <w:marBottom w:val="0"/>
      <w:divBdr>
        <w:top w:val="none" w:sz="0" w:space="0" w:color="auto"/>
        <w:left w:val="none" w:sz="0" w:space="0" w:color="auto"/>
        <w:bottom w:val="none" w:sz="0" w:space="0" w:color="auto"/>
        <w:right w:val="none" w:sz="0" w:space="0" w:color="auto"/>
      </w:divBdr>
    </w:div>
    <w:div w:id="1694455151">
      <w:bodyDiv w:val="1"/>
      <w:marLeft w:val="0"/>
      <w:marRight w:val="0"/>
      <w:marTop w:val="0"/>
      <w:marBottom w:val="0"/>
      <w:divBdr>
        <w:top w:val="none" w:sz="0" w:space="0" w:color="auto"/>
        <w:left w:val="none" w:sz="0" w:space="0" w:color="auto"/>
        <w:bottom w:val="none" w:sz="0" w:space="0" w:color="auto"/>
        <w:right w:val="none" w:sz="0" w:space="0" w:color="auto"/>
      </w:divBdr>
    </w:div>
    <w:div w:id="1708993533">
      <w:bodyDiv w:val="1"/>
      <w:marLeft w:val="0"/>
      <w:marRight w:val="0"/>
      <w:marTop w:val="0"/>
      <w:marBottom w:val="0"/>
      <w:divBdr>
        <w:top w:val="none" w:sz="0" w:space="0" w:color="auto"/>
        <w:left w:val="none" w:sz="0" w:space="0" w:color="auto"/>
        <w:bottom w:val="none" w:sz="0" w:space="0" w:color="auto"/>
        <w:right w:val="none" w:sz="0" w:space="0" w:color="auto"/>
      </w:divBdr>
    </w:div>
    <w:div w:id="1746610903">
      <w:bodyDiv w:val="1"/>
      <w:marLeft w:val="0"/>
      <w:marRight w:val="0"/>
      <w:marTop w:val="0"/>
      <w:marBottom w:val="0"/>
      <w:divBdr>
        <w:top w:val="none" w:sz="0" w:space="0" w:color="auto"/>
        <w:left w:val="none" w:sz="0" w:space="0" w:color="auto"/>
        <w:bottom w:val="none" w:sz="0" w:space="0" w:color="auto"/>
        <w:right w:val="none" w:sz="0" w:space="0" w:color="auto"/>
      </w:divBdr>
    </w:div>
    <w:div w:id="1764958570">
      <w:bodyDiv w:val="1"/>
      <w:marLeft w:val="0"/>
      <w:marRight w:val="0"/>
      <w:marTop w:val="0"/>
      <w:marBottom w:val="0"/>
      <w:divBdr>
        <w:top w:val="none" w:sz="0" w:space="0" w:color="auto"/>
        <w:left w:val="none" w:sz="0" w:space="0" w:color="auto"/>
        <w:bottom w:val="none" w:sz="0" w:space="0" w:color="auto"/>
        <w:right w:val="none" w:sz="0" w:space="0" w:color="auto"/>
      </w:divBdr>
    </w:div>
    <w:div w:id="1826358400">
      <w:bodyDiv w:val="1"/>
      <w:marLeft w:val="0"/>
      <w:marRight w:val="0"/>
      <w:marTop w:val="0"/>
      <w:marBottom w:val="0"/>
      <w:divBdr>
        <w:top w:val="none" w:sz="0" w:space="0" w:color="auto"/>
        <w:left w:val="none" w:sz="0" w:space="0" w:color="auto"/>
        <w:bottom w:val="none" w:sz="0" w:space="0" w:color="auto"/>
        <w:right w:val="none" w:sz="0" w:space="0" w:color="auto"/>
      </w:divBdr>
    </w:div>
    <w:div w:id="19556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dpi.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E0658-71E6-4335-9984-BF8BC474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NGUYEN</dc:creator>
  <cp:keywords/>
  <dc:description/>
  <cp:lastModifiedBy>ANH KHOA NGUYEN</cp:lastModifiedBy>
  <cp:revision>6</cp:revision>
  <dcterms:created xsi:type="dcterms:W3CDTF">2025-06-06T14:35:00Z</dcterms:created>
  <dcterms:modified xsi:type="dcterms:W3CDTF">2025-06-08T07:33:00Z</dcterms:modified>
</cp:coreProperties>
</file>