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both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Implementing the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URAI, Cybersecurity &amp; AI Threat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framework requires a rigorous lifecycle that bridges traditional Data Science with Operational Technology (OT) domain expertise. Below is the step-by-step implementation procedure followed by the specific open-source datasets required for training each module.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Part 1: Implementation Procedure (The URAI Lifecycle)</w:t>
      </w:r>
    </w:p>
    <w:p w:rsidR="00000000" w:rsidDel="00000000" w:rsidP="00000000" w:rsidRDefault="00000000" w:rsidRPr="00000000" w14:paraId="00000004">
      <w:pPr>
        <w:spacing w:after="12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Implementing these models in a "Critical National Lifeline Asset" environment (like a power grid or water plant) follows a seven-stage process to ensure safety and reliability.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Architecture Mapping (The Purdue Alignment):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Map each threat to its specific Purdue Level (0-5).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Identify "choke points" for data collection (e.g., SPAN ports on Level 2 switches for SCADA traffic, Historian APIs for telemetry).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Data Ingestion &amp; Protocol Decoding: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Capture raw OT traffic (PCAPs) and decode industrial protocols (Modbus, DNP3, Profinet, IEC 61850) into structured features.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Extract physical telemetry (pressure, voltage, flow rates) from sensors.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Model Selection &amp; Hybridization: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Select the core model (e.g., Transformer for sequence, YOLO for vision).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Physics Injection: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For PINN models, embed the mathematical laws of the physical process (e.g., Bernoulli’s principle for water flow) into the neural network's loss function.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Offline Training &amp; Validation: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Train models using the open-source datasets listed below.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Perform "Cross-Validation" using synthetic data generated by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cGANs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to simulate rare "Black Swan" attack events.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Adversarial Hardening (URAI Compliance):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Apply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PGD (Projected Gradient Descent)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to test the model against evasion attacks.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Implement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Krum aggregation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if using Federated Learning to ensure "poisoned" updates from a compromised node don't corrupt the global model.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Edge/Guard Agent Deployment: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Convert models to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TensorFlow Lite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ONNX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for deployment on "Guard Agents" (Edge gateways or TinyML devices).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Closed-Loop Incident Response: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Integrate model outputs with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SOAR (Security Orchestration, Automation, and Response)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Human-in-the-Loop (HITL):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Ensure critical "Stop" commands require human verification before the AI executes them.</w:t>
      </w:r>
    </w:p>
    <w:p w:rsidR="00000000" w:rsidDel="00000000" w:rsidP="00000000" w:rsidRDefault="00000000" w:rsidRPr="00000000" w14:paraId="00000019">
      <w:pPr>
        <w:spacing w:after="120" w:lineRule="auto"/>
        <w:jc w:val="center"/>
        <w:rPr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before="240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Open-Source Datasets for Training</w:t>
      </w:r>
    </w:p>
    <w:p w:rsidR="00000000" w:rsidDel="00000000" w:rsidP="00000000" w:rsidRDefault="00000000" w:rsidRPr="00000000" w14:paraId="0000001D">
      <w:pPr>
        <w:spacing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To train these advanced models, you need high-fidelity datasets that include both normal operational baselines and labeled attack vectors.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2130"/>
        <w:gridCol w:w="4890"/>
        <w:tblGridChange w:id="0">
          <w:tblGrid>
            <w:gridCol w:w="1875"/>
            <w:gridCol w:w="2130"/>
            <w:gridCol w:w="489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Attack / Threat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Recommended ML Model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Open-Source Dataset(s)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FDI &amp; Sensor Spoofing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PINN (Physics-Informed)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color w:val="1f1f1f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0b57d0"/>
                  <w:sz w:val="20"/>
                  <w:szCs w:val="20"/>
                  <w:u w:val="single"/>
                  <w:rtl w:val="0"/>
                </w:rPr>
                <w:t xml:space="preserve">IEEE Power System FDI Dataset</w:t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: Covers 30-bus and 118-bus systems with FDI samples.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OT Ransomware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cGAN + Transformer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color w:val="1f1f1f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b57d0"/>
                  <w:sz w:val="20"/>
                  <w:szCs w:val="20"/>
                  <w:u w:val="single"/>
                  <w:rtl w:val="0"/>
                </w:rPr>
                <w:t xml:space="preserve">UGRansome Dataset</w:t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: Features zero-day threats and network flow patterns for ransomware.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DER &amp; Edge Attacks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TinyML + Federated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color w:val="1f1f1f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0b57d0"/>
                  <w:sz w:val="20"/>
                  <w:szCs w:val="20"/>
                  <w:u w:val="single"/>
                  <w:rtl w:val="0"/>
                </w:rPr>
                <w:t xml:space="preserve">CIC-IoMT2024</w:t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: Specifically designed for healthcare/IoT edge devices with distributed attack profiles.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Physical Sabotage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YOLOv9 + 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color w:val="1f1f1f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0b57d0"/>
                  <w:sz w:val="20"/>
                  <w:szCs w:val="20"/>
                  <w:u w:val="single"/>
                  <w:rtl w:val="0"/>
                </w:rPr>
                <w:t xml:space="preserve">Industrial Package Dataset</w:t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: Focuses on industrial object detection. Use with</w:t>
            </w:r>
            <w:hyperlink r:id="rId10">
              <w:r w:rsidDel="00000000" w:rsidR="00000000" w:rsidRPr="00000000">
                <w:rPr>
                  <w:color w:val="1f1f1f"/>
                  <w:sz w:val="20"/>
                  <w:szCs w:val="2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b w:val="1"/>
                  <w:bCs w:val="1"/>
                  <w:color w:val="0b57d0"/>
                  <w:sz w:val="20"/>
                  <w:szCs w:val="20"/>
                  <w:u w:val="single"/>
                  <w:rtl w:val="0"/>
                </w:rPr>
                <w:t xml:space="preserve">UCF-Crime</w:t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for anomaly sequences.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Firmware &amp; Supply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Graph Mamba (CFG)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color w:val="1f1f1f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0b57d0"/>
                  <w:sz w:val="20"/>
                  <w:szCs w:val="20"/>
                  <w:u w:val="single"/>
                  <w:rtl w:val="0"/>
                </w:rPr>
                <w:t xml:space="preserve">HUST-FIRM</w:t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: A large-scale Control Flow Graph (CFG) dataset for cross-platform firmware analysis.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DoS/DDoS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DRL Adaptive Shaping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color w:val="1f1f1f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0b57d0"/>
                  <w:sz w:val="20"/>
                  <w:szCs w:val="20"/>
                  <w:u w:val="single"/>
                  <w:rtl w:val="0"/>
                </w:rPr>
                <w:t xml:space="preserve">CIC-DDoS2019</w:t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: The gold standard for labeled DDoS traffic including reflection and exploitation attacks.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Insider Threat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Behavioral DNA Profiling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color w:val="1f1f1f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0b57d0"/>
                  <w:sz w:val="20"/>
                  <w:szCs w:val="20"/>
                  <w:u w:val="single"/>
                  <w:rtl w:val="0"/>
                </w:rPr>
                <w:t xml:space="preserve">CERT Insider Threat Dataset</w:t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: Comprehensive synthetic logs of user activity (web, email, file access).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General OT Anomalies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UEBA &amp; CMDB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color w:val="1f1f1f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0b57d0"/>
                  <w:sz w:val="20"/>
                  <w:szCs w:val="20"/>
                  <w:u w:val="single"/>
                  <w:rtl w:val="0"/>
                </w:rPr>
                <w:t xml:space="preserve">SWaT (Secure Water Treatment)</w:t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or</w:t>
            </w:r>
            <w:hyperlink r:id="rId16">
              <w:r w:rsidDel="00000000" w:rsidR="00000000" w:rsidRPr="00000000">
                <w:rPr>
                  <w:color w:val="1f1f1f"/>
                  <w:sz w:val="20"/>
                  <w:szCs w:val="20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b w:val="1"/>
                  <w:bCs w:val="1"/>
                  <w:color w:val="0b57d0"/>
                  <w:sz w:val="20"/>
                  <w:szCs w:val="20"/>
                  <w:u w:val="single"/>
                  <w:rtl w:val="0"/>
                </w:rPr>
                <w:t xml:space="preserve">HAI (HIL-augmented ICS)</w:t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: Real-world ICS testbed datasets with multi-stage attacks.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Model Poisoning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Merkle + Krum + PGD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color w:val="1f1f1f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b w:val="1"/>
                  <w:bCs w:val="1"/>
                  <w:color w:val="0b57d0"/>
                  <w:sz w:val="20"/>
                  <w:szCs w:val="20"/>
                  <w:u w:val="single"/>
                  <w:rtl w:val="0"/>
                </w:rPr>
                <w:t xml:space="preserve">MNIST/CIFAR (Adversarial)</w:t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: Standard for testing Byzantine-resilient aggregation like Krum against gradient poisoning.</w:t>
            </w:r>
          </w:p>
        </w:tc>
      </w:tr>
    </w:tbl>
    <w:p w:rsidR="00000000" w:rsidDel="00000000" w:rsidP="00000000" w:rsidRDefault="00000000" w:rsidRPr="00000000" w14:paraId="0000003C">
      <w:pPr>
        <w:spacing w:after="120" w:lineRule="auto"/>
        <w:jc w:val="center"/>
        <w:rPr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40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Implementation Tip for Teams:</w:t>
      </w:r>
    </w:p>
    <w:p w:rsidR="00000000" w:rsidDel="00000000" w:rsidP="00000000" w:rsidRDefault="00000000" w:rsidRPr="00000000" w14:paraId="0000003E">
      <w:pPr>
        <w:spacing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Since many of these models (like the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Graph Mamba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for firmware) are cutting-edge, you may need to use tools like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Ghidra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angr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to extract CFGs from the datasets before feeding them into the ML pipeline.</w:t>
      </w:r>
    </w:p>
    <w:p w:rsidR="00000000" w:rsidDel="00000000" w:rsidP="00000000" w:rsidRDefault="00000000" w:rsidRPr="00000000" w14:paraId="0000003F">
      <w:pPr>
        <w:spacing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Would you like a more detailed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Python/PyTorch architecture snippet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for any of these specific models?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https://www.crcv.ucf.edu/research/projects/real-world-anomaly-detection-in-video-surveillance/&amp;authuser=4" TargetMode="External"/><Relationship Id="rId10" Type="http://schemas.openxmlformats.org/officeDocument/2006/relationships/hyperlink" Target="https://www.google.com/search?q=https://www.crcv.ucf.edu/research/projects/real-world-anomaly-detection-in-video-surveillance/&amp;authuser=4" TargetMode="External"/><Relationship Id="rId13" Type="http://schemas.openxmlformats.org/officeDocument/2006/relationships/hyperlink" Target="https://www.unb.ca/cic/datasets/ddos-2019.html" TargetMode="External"/><Relationship Id="rId12" Type="http://schemas.openxmlformats.org/officeDocument/2006/relationships/hyperlink" Target="https://www.google.com/search?q=https://github.com/HUST-FIRM/HUST-FIRM&amp;authuser=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ultralytics.com/datasets/detect/" TargetMode="External"/><Relationship Id="rId15" Type="http://schemas.openxmlformats.org/officeDocument/2006/relationships/hyperlink" Target="https://itrust.sutd.edu.sg/itrust-labs_datasets/dataset_info/" TargetMode="External"/><Relationship Id="rId14" Type="http://schemas.openxmlformats.org/officeDocument/2006/relationships/hyperlink" Target="https://resources.sei.cmu.edu/library/asset-view.cfm?assetid=508099" TargetMode="External"/><Relationship Id="rId17" Type="http://schemas.openxmlformats.org/officeDocument/2006/relationships/hyperlink" Target="https://github.com/icsdataset/hai" TargetMode="External"/><Relationship Id="rId16" Type="http://schemas.openxmlformats.org/officeDocument/2006/relationships/hyperlink" Target="https://github.com/icsdataset/hai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uanjiaqi01/False-Data-Injection-Attack-Dataset" TargetMode="External"/><Relationship Id="rId18" Type="http://schemas.openxmlformats.org/officeDocument/2006/relationships/hyperlink" Target="https://github.com/bethgelab/foolbox" TargetMode="External"/><Relationship Id="rId7" Type="http://schemas.openxmlformats.org/officeDocument/2006/relationships/hyperlink" Target="https://www.kaggle.com/datasets/nkongolo/ugransome-dataset" TargetMode="External"/><Relationship Id="rId8" Type="http://schemas.openxmlformats.org/officeDocument/2006/relationships/hyperlink" Target="https://www.unb.ca/cic/datasets/iomt-dataset-202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