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87" w:rsidRDefault="00A05AEF" w:rsidP="00A05AEF">
      <w:pPr>
        <w:jc w:val="center"/>
        <w:rPr>
          <w:b/>
          <w:sz w:val="32"/>
        </w:rPr>
      </w:pPr>
      <w:bookmarkStart w:id="0" w:name="_GoBack"/>
      <w:bookmarkEnd w:id="0"/>
      <w:r w:rsidRPr="00A05AEF">
        <w:rPr>
          <w:b/>
          <w:sz w:val="32"/>
        </w:rPr>
        <w:t>What to do if SPI is “wrong”</w:t>
      </w:r>
    </w:p>
    <w:p w:rsidR="00A05AEF" w:rsidRPr="00A05AEF" w:rsidRDefault="00A05AEF" w:rsidP="00A05AEF">
      <w:pPr>
        <w:pStyle w:val="ListParagraph"/>
        <w:numPr>
          <w:ilvl w:val="0"/>
          <w:numId w:val="1"/>
        </w:numPr>
        <w:rPr>
          <w:sz w:val="24"/>
        </w:rPr>
      </w:pPr>
      <w:r w:rsidRPr="00A05AEF">
        <w:rPr>
          <w:sz w:val="24"/>
        </w:rPr>
        <w:t>Make sure the analyst is explaining what they are seeing on the POG versus what they think should be on the POG.  This information includes</w:t>
      </w:r>
      <w:r>
        <w:rPr>
          <w:sz w:val="24"/>
        </w:rPr>
        <w:t xml:space="preserve"> SKU/STR/ Expected value/ # of Facings/ Merchstyle/ # of POGs</w:t>
      </w:r>
      <w:r w:rsidR="00F32D07">
        <w:rPr>
          <w:sz w:val="24"/>
        </w:rPr>
        <w:t xml:space="preserve"> / POG ID</w:t>
      </w:r>
    </w:p>
    <w:p w:rsidR="00A05AEF" w:rsidRDefault="00A05AEF" w:rsidP="00A05AEF">
      <w:pPr>
        <w:pStyle w:val="ListParagraph"/>
        <w:numPr>
          <w:ilvl w:val="0"/>
          <w:numId w:val="1"/>
        </w:numPr>
        <w:rPr>
          <w:sz w:val="24"/>
        </w:rPr>
      </w:pPr>
      <w:r w:rsidRPr="00A05AEF">
        <w:rPr>
          <w:sz w:val="24"/>
        </w:rPr>
        <w:t xml:space="preserve">Check the POG Portal by SKU/STR </w:t>
      </w:r>
      <w:r w:rsidR="00AE1248">
        <w:rPr>
          <w:sz w:val="24"/>
        </w:rPr>
        <w:t xml:space="preserve">or POG ID </w:t>
      </w:r>
      <w:r w:rsidRPr="00A05AEF">
        <w:rPr>
          <w:sz w:val="24"/>
        </w:rPr>
        <w:t xml:space="preserve">to see if they are looking at the appropriate POG </w:t>
      </w:r>
      <w:r w:rsidR="00AE1248">
        <w:rPr>
          <w:sz w:val="24"/>
        </w:rPr>
        <w:t>and they are calculating appropriately</w:t>
      </w:r>
      <w:r w:rsidRPr="00A05AEF">
        <w:rPr>
          <w:sz w:val="24"/>
        </w:rPr>
        <w:t xml:space="preserve">- </w:t>
      </w:r>
      <w:hyperlink r:id="rId5" w:history="1">
        <w:r w:rsidRPr="00A05AEF">
          <w:rPr>
            <w:rStyle w:val="Hyperlink"/>
            <w:sz w:val="24"/>
          </w:rPr>
          <w:t>POG Portal Link</w:t>
        </w:r>
      </w:hyperlink>
    </w:p>
    <w:tbl>
      <w:tblPr>
        <w:tblpPr w:leftFromText="180" w:rightFromText="180" w:vertAnchor="text" w:tblpY="1"/>
        <w:tblOverlap w:val="never"/>
        <w:tblW w:w="10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3150"/>
        <w:gridCol w:w="2160"/>
      </w:tblGrid>
      <w:tr w:rsidR="00AE1248" w:rsidTr="00C75FAD">
        <w:trPr>
          <w:trHeight w:val="300"/>
        </w:trPr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Merch Style 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E1248" w:rsidTr="00C75FAD">
        <w:trPr>
          <w:trHeight w:val="300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Unit</w:t>
            </w:r>
            <w:r w:rsidR="00C75FAD">
              <w:rPr>
                <w:color w:val="000000"/>
              </w:rPr>
              <w:t>/Shelf</w:t>
            </w:r>
            <w:r>
              <w:rPr>
                <w:color w:val="000000"/>
              </w:rPr>
              <w:t xml:space="preserve"> </w:t>
            </w:r>
            <w:r w:rsidR="00C70266">
              <w:rPr>
                <w:color w:val="000000"/>
              </w:rPr>
              <w:t>(Merchstyle = 0</w:t>
            </w:r>
            <w:r w:rsidR="00C75FAD">
              <w:rPr>
                <w:color w:val="000000"/>
              </w:rPr>
              <w:t xml:space="preserve"> and FixtureType = 0</w:t>
            </w:r>
            <w:r w:rsidR="00C70266">
              <w:rPr>
                <w:color w:val="000000"/>
              </w:rPr>
              <w:t xml:space="preserve">)  </w:t>
            </w:r>
            <w:r>
              <w:rPr>
                <w:color w:val="000000"/>
              </w:rPr>
              <w:t>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# of facings 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AE1248" w:rsidTr="00C75FAD">
        <w:trPr>
          <w:trHeight w:val="300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Peg </w:t>
            </w:r>
            <w:r w:rsidR="00C70266">
              <w:rPr>
                <w:color w:val="000000"/>
              </w:rPr>
              <w:t xml:space="preserve">(Merchstyle = 0 and FixtureType = 7) </w:t>
            </w:r>
            <w:r>
              <w:rPr>
                <w:color w:val="000000"/>
              </w:rPr>
              <w:t>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# of </w:t>
            </w:r>
            <w:r w:rsidR="001E0BDF">
              <w:rPr>
                <w:color w:val="000000"/>
              </w:rPr>
              <w:t>H</w:t>
            </w:r>
            <w:r>
              <w:rPr>
                <w:color w:val="000000"/>
              </w:rPr>
              <w:t>facings *</w:t>
            </w:r>
            <w:r w:rsidR="001E0BDF">
              <w:rPr>
                <w:color w:val="000000"/>
              </w:rPr>
              <w:t xml:space="preserve"> # of Vfacings 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AE1248" w:rsidTr="00C75FAD">
        <w:trPr>
          <w:trHeight w:val="300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Case</w:t>
            </w:r>
            <w:r w:rsidR="00C70266">
              <w:rPr>
                <w:color w:val="000000"/>
              </w:rPr>
              <w:t xml:space="preserve"> (Merchstyle = 2)  </w:t>
            </w:r>
            <w:r>
              <w:rPr>
                <w:color w:val="000000"/>
              </w:rPr>
              <w:t xml:space="preserve"> 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# of facings 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(Case Pack Size * </w:t>
            </w:r>
            <w:r>
              <w:rPr>
                <w:b/>
                <w:bCs/>
                <w:color w:val="000000"/>
              </w:rPr>
              <w:t>.3</w:t>
            </w:r>
            <w:r>
              <w:rPr>
                <w:color w:val="000000"/>
              </w:rPr>
              <w:t>)</w:t>
            </w:r>
          </w:p>
        </w:tc>
      </w:tr>
      <w:tr w:rsidR="00AE1248" w:rsidTr="00C75FAD">
        <w:trPr>
          <w:trHeight w:val="300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Tray </w:t>
            </w:r>
            <w:r w:rsidR="00C70266">
              <w:rPr>
                <w:color w:val="000000"/>
              </w:rPr>
              <w:t xml:space="preserve">(Merchstyle = 1)  </w:t>
            </w:r>
            <w:r>
              <w:rPr>
                <w:color w:val="000000"/>
              </w:rPr>
              <w:t xml:space="preserve"> =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# of facings 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(</w:t>
            </w:r>
            <w:r w:rsidR="007533F6">
              <w:rPr>
                <w:color w:val="000000"/>
              </w:rPr>
              <w:t>Tray</w:t>
            </w:r>
            <w:r>
              <w:rPr>
                <w:color w:val="000000"/>
              </w:rPr>
              <w:t xml:space="preserve"> Pack Size * </w:t>
            </w:r>
            <w:r>
              <w:rPr>
                <w:b/>
                <w:bCs/>
                <w:color w:val="000000"/>
              </w:rPr>
              <w:t>.3</w:t>
            </w:r>
            <w:r>
              <w:rPr>
                <w:color w:val="000000"/>
              </w:rPr>
              <w:t>)</w:t>
            </w:r>
          </w:p>
        </w:tc>
      </w:tr>
      <w:tr w:rsidR="00AE1248" w:rsidTr="00C75FAD">
        <w:trPr>
          <w:trHeight w:val="115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Bin  </w:t>
            </w:r>
            <w:r w:rsidR="00C70266">
              <w:rPr>
                <w:color w:val="000000"/>
              </w:rPr>
              <w:t xml:space="preserve">(Merchstyle = 5)  </w:t>
            </w:r>
            <w:r>
              <w:rPr>
                <w:color w:val="000000"/>
              </w:rPr>
              <w:t>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# of facings 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(</w:t>
            </w:r>
            <w:r w:rsidR="007533F6">
              <w:rPr>
                <w:color w:val="000000"/>
              </w:rPr>
              <w:t>Bin</w:t>
            </w:r>
            <w:r>
              <w:rPr>
                <w:color w:val="000000"/>
              </w:rPr>
              <w:t xml:space="preserve"> Pack Size * </w:t>
            </w:r>
            <w:r>
              <w:rPr>
                <w:b/>
                <w:bCs/>
                <w:color w:val="000000"/>
              </w:rPr>
              <w:t>.3</w:t>
            </w:r>
            <w:r>
              <w:rPr>
                <w:color w:val="000000"/>
              </w:rPr>
              <w:t>)</w:t>
            </w:r>
          </w:p>
        </w:tc>
      </w:tr>
      <w:tr w:rsidR="00AE1248" w:rsidTr="00C75FAD">
        <w:trPr>
          <w:trHeight w:val="403"/>
        </w:trPr>
        <w:tc>
          <w:tcPr>
            <w:tcW w:w="4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Pallet </w:t>
            </w:r>
            <w:r w:rsidR="00C70266">
              <w:rPr>
                <w:color w:val="000000"/>
              </w:rPr>
              <w:t xml:space="preserve">(Merchstyle = 4)  </w:t>
            </w:r>
            <w:r>
              <w:rPr>
                <w:color w:val="000000"/>
              </w:rPr>
              <w:t>=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# of facings 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(Pallet Pack Size * </w:t>
            </w:r>
            <w:r>
              <w:rPr>
                <w:b/>
                <w:bCs/>
                <w:color w:val="000000"/>
              </w:rPr>
              <w:t>.3</w:t>
            </w:r>
            <w:r>
              <w:rPr>
                <w:color w:val="000000"/>
              </w:rPr>
              <w:t>)</w:t>
            </w:r>
          </w:p>
        </w:tc>
      </w:tr>
      <w:tr w:rsidR="00AE1248" w:rsidTr="00C75FAD">
        <w:trPr>
          <w:trHeight w:val="300"/>
        </w:trPr>
        <w:tc>
          <w:tcPr>
            <w:tcW w:w="100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1248" w:rsidRDefault="00AE1248" w:rsidP="007533F6">
            <w:pPr>
              <w:rPr>
                <w:rFonts w:ascii="Calibri" w:hAnsi="Calibri" w:cs="Calibri"/>
                <w:color w:val="000000"/>
              </w:rPr>
            </w:pPr>
            <w:r>
              <w:t xml:space="preserve">Overall a minimum of </w:t>
            </w:r>
            <w:r>
              <w:rPr>
                <w:b/>
                <w:bCs/>
              </w:rPr>
              <w:t>2</w:t>
            </w:r>
          </w:p>
        </w:tc>
      </w:tr>
    </w:tbl>
    <w:p w:rsidR="00AE1248" w:rsidRDefault="007533F6" w:rsidP="00AE1248">
      <w:pPr>
        <w:pStyle w:val="ListParagraph"/>
        <w:ind w:left="1080"/>
        <w:rPr>
          <w:sz w:val="24"/>
        </w:rPr>
      </w:pPr>
      <w:r>
        <w:rPr>
          <w:sz w:val="24"/>
        </w:rPr>
        <w:br w:type="textWrapping" w:clear="all"/>
      </w:r>
    </w:p>
    <w:p w:rsidR="00A05AEF" w:rsidRDefault="00A05AEF" w:rsidP="00A05AEF">
      <w:pPr>
        <w:pStyle w:val="ListParagraph"/>
        <w:numPr>
          <w:ilvl w:val="0"/>
          <w:numId w:val="1"/>
        </w:numPr>
        <w:rPr>
          <w:sz w:val="24"/>
        </w:rPr>
      </w:pPr>
      <w:r w:rsidRPr="00A05AEF">
        <w:rPr>
          <w:sz w:val="24"/>
        </w:rPr>
        <w:t>Check the SPI application to make sure there are no overrides in place for the SKU/ SKU.STR / Subclass –</w:t>
      </w:r>
      <w:hyperlink r:id="rId6" w:history="1">
        <w:r w:rsidRPr="00A05AEF">
          <w:rPr>
            <w:rStyle w:val="Hyperlink"/>
            <w:sz w:val="24"/>
          </w:rPr>
          <w:t xml:space="preserve"> Merchlink</w:t>
        </w:r>
      </w:hyperlink>
      <w:r>
        <w:rPr>
          <w:sz w:val="24"/>
        </w:rPr>
        <w:t xml:space="preserve"> &gt; Replenishment Management &gt; Space Planning Integration</w:t>
      </w:r>
    </w:p>
    <w:p w:rsidR="00A05AEF" w:rsidRDefault="00AE1248" w:rsidP="00A05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Run the below query as a pass through query (in access) and use the above logic to calculate the value for a given store sku. </w:t>
      </w:r>
    </w:p>
    <w:p w:rsidR="00C70266" w:rsidRPr="00C70266" w:rsidRDefault="00C70266" w:rsidP="00C70266">
      <w:pPr>
        <w:pStyle w:val="NoSpacing"/>
      </w:pPr>
      <w:r w:rsidRPr="00C70266">
        <w:t>select a.dbkey as POG , b.sku_nbr as SKU, g.str_nbr as STR, c.merchstyle as Merchstyle, d.type as fixtureType, c.hfacings as xfacing , c.vfacings, b.casetotalnumber as casesize, b.alttotalnumber as Pallettsize</w:t>
      </w:r>
    </w:p>
    <w:p w:rsidR="00C70266" w:rsidRPr="00C70266" w:rsidRDefault="00C70266" w:rsidP="00C70266">
      <w:pPr>
        <w:pStyle w:val="NoSpacing"/>
      </w:pPr>
      <w:r w:rsidRPr="00C70266">
        <w:t>from prthd.IX_SPC_PLANOGRAM A, prthd.IX_SPC_POSITION C, prthd.IX_SPC_PRODUCT B, prthd.IX_SPC_FIXTURE d, prthd.IX_FLR_SECTION G</w:t>
      </w:r>
    </w:p>
    <w:p w:rsidR="00C70266" w:rsidRPr="00C70266" w:rsidRDefault="00C70266" w:rsidP="00C70266">
      <w:pPr>
        <w:pStyle w:val="NoSpacing"/>
      </w:pPr>
      <w:r w:rsidRPr="00C70266">
        <w:t>where a.dbkey = c.dbprntplanogramkey</w:t>
      </w:r>
    </w:p>
    <w:p w:rsidR="00C70266" w:rsidRPr="00C70266" w:rsidRDefault="00C70266" w:rsidP="00C70266">
      <w:pPr>
        <w:pStyle w:val="NoSpacing"/>
      </w:pPr>
      <w:r w:rsidRPr="00C70266">
        <w:t>and C.DBPARENTPRODUCTKEY = B.DBKEY</w:t>
      </w:r>
    </w:p>
    <w:p w:rsidR="00C70266" w:rsidRPr="00C70266" w:rsidRDefault="00C70266" w:rsidP="00C70266">
      <w:pPr>
        <w:pStyle w:val="NoSpacing"/>
      </w:pPr>
      <w:r w:rsidRPr="00C70266">
        <w:t>AND    C.DBparentfixtureKEY = D.DBKEY</w:t>
      </w:r>
    </w:p>
    <w:p w:rsidR="00C70266" w:rsidRPr="00C70266" w:rsidRDefault="00C70266" w:rsidP="00C70266">
      <w:pPr>
        <w:pStyle w:val="NoSpacing"/>
      </w:pPr>
      <w:r w:rsidRPr="00C70266">
        <w:t>AND    A.DBKEY = G.DBPRNTPLANOGRAMKEY</w:t>
      </w:r>
    </w:p>
    <w:p w:rsidR="00C70266" w:rsidRPr="00C70266" w:rsidRDefault="00C70266" w:rsidP="00C70266">
      <w:pPr>
        <w:pStyle w:val="NoSpacing"/>
      </w:pPr>
      <w:r w:rsidRPr="00C70266">
        <w:t xml:space="preserve">and b.sku_nbr = </w:t>
      </w:r>
      <w:r w:rsidRPr="00C70266">
        <w:rPr>
          <w:b/>
        </w:rPr>
        <w:t>796538</w:t>
      </w:r>
      <w:r>
        <w:rPr>
          <w:b/>
        </w:rPr>
        <w:t>?</w:t>
      </w:r>
    </w:p>
    <w:p w:rsidR="00C70266" w:rsidRPr="00C70266" w:rsidRDefault="00C70266" w:rsidP="00C70266">
      <w:pPr>
        <w:pStyle w:val="NoSpacing"/>
      </w:pPr>
      <w:r w:rsidRPr="00C70266">
        <w:t xml:space="preserve">and g.str_nbr = </w:t>
      </w:r>
      <w:r w:rsidRPr="00C70266">
        <w:rPr>
          <w:b/>
        </w:rPr>
        <w:t>8598</w:t>
      </w:r>
      <w:r>
        <w:rPr>
          <w:b/>
        </w:rPr>
        <w:t>?</w:t>
      </w:r>
    </w:p>
    <w:p w:rsidR="00C70266" w:rsidRPr="00C70266" w:rsidRDefault="00C70266" w:rsidP="00C70266">
      <w:pPr>
        <w:pStyle w:val="NoSpacing"/>
      </w:pPr>
      <w:r w:rsidRPr="00C70266">
        <w:t>with ur;</w:t>
      </w:r>
    </w:p>
    <w:p w:rsidR="00C70266" w:rsidRDefault="00C70266" w:rsidP="00C70266">
      <w:pPr>
        <w:pStyle w:val="ListParagraph"/>
        <w:ind w:left="540"/>
        <w:rPr>
          <w:sz w:val="24"/>
        </w:rPr>
      </w:pPr>
    </w:p>
    <w:p w:rsidR="00C70266" w:rsidRDefault="00C70266" w:rsidP="00A05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OTHER INFO</w:t>
      </w:r>
    </w:p>
    <w:p w:rsidR="00C70266" w:rsidRDefault="00C70266" w:rsidP="00C7026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facings are not included in the calculation for a SKU/STR on a POG</w:t>
      </w:r>
    </w:p>
    <w:p w:rsidR="00C70266" w:rsidRDefault="00C70266" w:rsidP="00C7026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only Fixture type that comes into consideration during this process is when the merchstyle is 0.  When the merchstyle is 0 and Fixture type is 7 the Merchstyle then becomes Pegged instead of Unit.</w:t>
      </w:r>
    </w:p>
    <w:tbl>
      <w:tblPr>
        <w:tblW w:w="4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3619"/>
      </w:tblGrid>
      <w:tr w:rsidR="00C70266" w:rsidTr="00C70266">
        <w:trPr>
          <w:trHeight w:val="300"/>
        </w:trPr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Fixture Type Code</w:t>
            </w:r>
          </w:p>
        </w:tc>
        <w:tc>
          <w:tcPr>
            <w:tcW w:w="3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Desc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Shelf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Chest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Bin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Polygonal Shelf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Rod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Lateral Rod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Bar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Pegboard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Multi-row Pegboard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Curved Rod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Obstruction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</w:tr>
      <w:tr w:rsidR="00C70266" w:rsidTr="00C70266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0266" w:rsidRDefault="00C70266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Gravity Feed</w:t>
            </w:r>
          </w:p>
        </w:tc>
      </w:tr>
    </w:tbl>
    <w:p w:rsidR="000C7B4F" w:rsidRPr="000C7B4F" w:rsidRDefault="00C70266" w:rsidP="000C7B4F">
      <w:pPr>
        <w:pStyle w:val="ListParagraph"/>
        <w:numPr>
          <w:ilvl w:val="1"/>
          <w:numId w:val="1"/>
        </w:numPr>
      </w:pPr>
      <w:r w:rsidRPr="000C7B4F">
        <w:rPr>
          <w:sz w:val="24"/>
        </w:rPr>
        <w:t>If there are any discrepancies have the analyst reach out to their business contact on the POG team and the vendor to correct the POG.  If the</w:t>
      </w:r>
      <w:r w:rsidR="000C7B4F">
        <w:rPr>
          <w:sz w:val="24"/>
        </w:rPr>
        <w:t xml:space="preserve"> calculation is wrong escalate the ticket to IT to resolve the solution. </w:t>
      </w:r>
    </w:p>
    <w:p w:rsidR="000C7B4F" w:rsidRPr="00AE1248" w:rsidRDefault="000C7B4F" w:rsidP="000C7B4F">
      <w:pPr>
        <w:pStyle w:val="ListParagraph"/>
        <w:numPr>
          <w:ilvl w:val="1"/>
          <w:numId w:val="1"/>
        </w:numPr>
      </w:pPr>
      <w:r>
        <w:rPr>
          <w:sz w:val="24"/>
        </w:rPr>
        <w:t>Overrides can be put in place temporarily to resolve the issue while the POG or IT solution is being fixed</w:t>
      </w:r>
    </w:p>
    <w:sectPr w:rsidR="000C7B4F" w:rsidRPr="00AE1248" w:rsidSect="0077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F4392"/>
    <w:multiLevelType w:val="hybridMultilevel"/>
    <w:tmpl w:val="74E602E8"/>
    <w:lvl w:ilvl="0" w:tplc="CFFA283C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EF"/>
    <w:rsid w:val="00053DE9"/>
    <w:rsid w:val="000C7B4F"/>
    <w:rsid w:val="001E0BDF"/>
    <w:rsid w:val="0032059E"/>
    <w:rsid w:val="004E3CF5"/>
    <w:rsid w:val="007533F6"/>
    <w:rsid w:val="00773F87"/>
    <w:rsid w:val="00961E60"/>
    <w:rsid w:val="00A00E33"/>
    <w:rsid w:val="00A05AEF"/>
    <w:rsid w:val="00AE1248"/>
    <w:rsid w:val="00BB7551"/>
    <w:rsid w:val="00C70266"/>
    <w:rsid w:val="00C75FAD"/>
    <w:rsid w:val="00F32D07"/>
    <w:rsid w:val="00F62161"/>
    <w:rsid w:val="00F6456B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C2807-2DCC-469E-AE33-C7CE1BA6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1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pps.homedepot.com/MsrMenu/flex/Menu.jsp" TargetMode="External"/><Relationship Id="rId5" Type="http://schemas.openxmlformats.org/officeDocument/2006/relationships/hyperlink" Target="https://webapps.homedepot.com/Planogram/?ThdSessionID=h14yf90h-2pwzskhfxw120lq6&amp;sessionID=h14yf90h-2pwzskhfxw120lq6&amp;SWEUserName=h14yf90h-2pwzskhfxw120lq6%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Wright</dc:creator>
  <cp:lastModifiedBy>Mayes, Angelica</cp:lastModifiedBy>
  <cp:revision>2</cp:revision>
  <dcterms:created xsi:type="dcterms:W3CDTF">2017-06-16T18:00:00Z</dcterms:created>
  <dcterms:modified xsi:type="dcterms:W3CDTF">2017-06-16T18:00:00Z</dcterms:modified>
</cp:coreProperties>
</file>