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3 блок</w:t>
      </w:r>
    </w:p>
    <w:p>
      <w:pPr>
        <w:pStyle w:val="Subtitle"/>
      </w:pPr>
      <w:r>
        <w:t xml:space="preserve">Криптография на практике</w:t>
      </w:r>
    </w:p>
    <w:p>
      <w:pPr>
        <w:pStyle w:val="Author"/>
      </w:pPr>
      <w:r>
        <w:t xml:space="preserve">Абронина Алиса Кирилловна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третий блок курса</w:t>
      </w:r>
    </w:p>
    <w:bookmarkEnd w:id="20"/>
    <w:bookmarkStart w:id="101" w:name="выполнение-3-блока-внешнего-курса"/>
    <w:p>
      <w:pPr>
        <w:pStyle w:val="Heading1"/>
      </w:pPr>
      <w:r>
        <w:t xml:space="preserve">2. Выполнение 3 блока внешнего курса</w:t>
      </w:r>
    </w:p>
    <w:p>
      <w:pPr>
        <w:pStyle w:val="FirstParagraph"/>
      </w:pPr>
      <w:r>
        <w:t xml:space="preserve">У каждого есть открый и секретный ключ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24892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Не обспечивает конфенденциальность - хэш не шифрует данные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bookmarkStart w:id="29" w:name="fig-002"/>
            <w:r>
              <w:drawing>
                <wp:inline>
                  <wp:extent cx="3733800" cy="24892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AES-шифрование SHA2-хэш-фукнкция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bookmarkStart w:id="34" w:name="fig-003"/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</w:t>
            </w:r>
          </w:p>
          <w:bookmarkEnd w:id="35"/>
        </w:tc>
      </w:tr>
    </w:tbl>
    <w:p>
      <w:pPr>
        <w:pStyle w:val="BodyText"/>
      </w:pPr>
      <w:r>
        <w:t xml:space="preserve">Обе стороны испольщуют общий секретный ключ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bookmarkStart w:id="39" w:name="fig-004"/>
            <w:r>
              <w:drawing>
                <wp:inline>
                  <wp:extent cx="3733800" cy="24892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</w:t>
            </w:r>
          </w:p>
          <w:bookmarkEnd w:id="40"/>
        </w:tc>
      </w:tr>
    </w:tbl>
    <w:p>
      <w:pPr>
        <w:pStyle w:val="BodyText"/>
      </w:pPr>
      <w:r>
        <w:t xml:space="preserve">Позволяет двум сторонам безопасно полчить общий секрет через открытый канал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bookmarkStart w:id="44" w:name="fig-005"/>
            <w:r>
              <w:drawing>
                <wp:inline>
                  <wp:extent cx="3733800" cy="2489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p>
      <w:pPr>
        <w:pStyle w:val="BodyText"/>
      </w:pPr>
      <w:r>
        <w:t xml:space="preserve">Подпись создается секретным ключом, проверяется открым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6"/>
          <w:p>
            <w:pPr>
              <w:pStyle w:val="Compact"/>
              <w:jc w:val="center"/>
            </w:pPr>
            <w:bookmarkStart w:id="49" w:name="fig-006"/>
            <w:r>
              <w:drawing>
                <wp:inline>
                  <wp:extent cx="3733800" cy="24892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</w:t>
            </w:r>
          </w:p>
          <w:bookmarkEnd w:id="50"/>
        </w:tc>
      </w:tr>
    </w:tbl>
    <w:p>
      <w:pPr>
        <w:pStyle w:val="BodyText"/>
      </w:pPr>
      <w:r>
        <w:t xml:space="preserve">Сообщение сверяют с подписью через открый ключ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7"/>
          <w:p>
            <w:pPr>
              <w:pStyle w:val="Compact"/>
              <w:jc w:val="center"/>
            </w:pPr>
            <w:bookmarkStart w:id="54" w:name="fig-007"/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</w:t>
            </w:r>
          </w:p>
          <w:bookmarkEnd w:id="55"/>
        </w:tc>
      </w:tr>
    </w:tbl>
    <w:p>
      <w:pPr>
        <w:pStyle w:val="BodyText"/>
      </w:pPr>
      <w:r>
        <w:t xml:space="preserve">Подпись подтверждает автора и целостность, но не скрывает данные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bookmarkStart w:id="59" w:name="fig-008"/>
            <w:r>
              <w:drawing>
                <wp:inline>
                  <wp:extent cx="3733800" cy="24892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</w:t>
            </w:r>
          </w:p>
          <w:bookmarkEnd w:id="60"/>
        </w:tc>
      </w:tr>
    </w:tbl>
    <w:p>
      <w:pPr>
        <w:pStyle w:val="BodyText"/>
      </w:pPr>
      <w:r>
        <w:t xml:space="preserve">Она имеет юридическую силу в РФ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9"/>
          <w:p>
            <w:pPr>
              <w:pStyle w:val="Compact"/>
              <w:jc w:val="center"/>
            </w:pPr>
            <w:bookmarkStart w:id="64" w:name="fig-009"/>
            <w:r>
              <w:drawing>
                <wp:inline>
                  <wp:extent cx="3733800" cy="24892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</w:t>
            </w:r>
          </w:p>
          <w:bookmarkEnd w:id="65"/>
        </w:tc>
      </w:tr>
    </w:tbl>
    <w:p>
      <w:pPr>
        <w:pStyle w:val="BodyText"/>
      </w:pPr>
      <w:r>
        <w:t xml:space="preserve">Такие центры официально выдают сетрификаты ЭЦП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0"/>
          <w:p>
            <w:pPr>
              <w:pStyle w:val="Compact"/>
              <w:jc w:val="center"/>
            </w:pPr>
            <w:bookmarkStart w:id="69" w:name="fig-010"/>
            <w:r>
              <w:drawing>
                <wp:inline>
                  <wp:extent cx="3733800" cy="24892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</w:t>
            </w:r>
          </w:p>
          <w:bookmarkEnd w:id="70"/>
        </w:tc>
      </w:tr>
    </w:tbl>
    <w:p>
      <w:pPr>
        <w:pStyle w:val="BodyText"/>
      </w:pPr>
      <w:r>
        <w:t xml:space="preserve">Отсальное - устройства или другие технологии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1"/>
          <w:p>
            <w:pPr>
              <w:pStyle w:val="Compact"/>
              <w:jc w:val="center"/>
            </w:pPr>
            <w:bookmarkStart w:id="74" w:name="fig-011"/>
            <w:r>
              <w:drawing>
                <wp:inline>
                  <wp:extent cx="3733800" cy="24892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</w:t>
            </w:r>
          </w:p>
          <w:bookmarkEnd w:id="75"/>
        </w:tc>
      </w:tr>
    </w:tbl>
    <w:p>
      <w:pPr>
        <w:pStyle w:val="BodyText"/>
      </w:pPr>
      <w:r>
        <w:t xml:space="preserve">Остальные: один из них не фактор аунтефикации, второй - об аотносятся к знанию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2"/>
          <w:p>
            <w:pPr>
              <w:pStyle w:val="Compact"/>
              <w:jc w:val="center"/>
            </w:pPr>
            <w:bookmarkStart w:id="79" w:name="fig-012"/>
            <w:r>
              <w:drawing>
                <wp:inline>
                  <wp:extent cx="3733800" cy="24892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</w:t>
            </w:r>
          </w:p>
          <w:bookmarkEnd w:id="80"/>
        </w:tc>
      </w:tr>
    </w:tbl>
    <w:p>
      <w:pPr>
        <w:pStyle w:val="BodyText"/>
      </w:pPr>
      <w:r>
        <w:t xml:space="preserve">Например карта + смс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3"/>
          <w:p>
            <w:pPr>
              <w:pStyle w:val="Compact"/>
              <w:jc w:val="center"/>
            </w:pPr>
            <w:bookmarkStart w:id="84" w:name="fig-013"/>
            <w:r>
              <w:drawing>
                <wp:inline>
                  <wp:extent cx="3733800" cy="24892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</w:t>
            </w:r>
          </w:p>
          <w:bookmarkEnd w:id="85"/>
        </w:tc>
      </w:tr>
    </w:tbl>
    <w:p>
      <w:pPr>
        <w:pStyle w:val="BodyText"/>
      </w:pPr>
      <w:r>
        <w:t xml:space="preserve">Трудно подобрать вхрдные данные для нужного хэша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4"/>
          <w:p>
            <w:pPr>
              <w:pStyle w:val="Compact"/>
              <w:jc w:val="center"/>
            </w:pPr>
            <w:bookmarkStart w:id="89" w:name="fig-014"/>
            <w:r>
              <w:drawing>
                <wp:inline>
                  <wp:extent cx="3733800" cy="24892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</w:t>
            </w:r>
          </w:p>
          <w:bookmarkEnd w:id="90"/>
        </w:tc>
      </w:tr>
    </w:tbl>
    <w:p>
      <w:pPr>
        <w:pStyle w:val="BodyText"/>
      </w:pPr>
      <w:r>
        <w:t xml:space="preserve">Консенсус - узлы согласны с состоянием сети. Живучесть - система продолжает работать. ОТкрытость - участие доступно многим. Постоянство - данные сложно изменить задним числом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5"/>
          <w:p>
            <w:pPr>
              <w:pStyle w:val="Compact"/>
              <w:jc w:val="center"/>
            </w:pPr>
            <w:bookmarkStart w:id="94" w:name="fig-015"/>
            <w:r>
              <w:drawing>
                <wp:inline>
                  <wp:extent cx="3733800" cy="24892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</w:t>
            </w:r>
          </w:p>
          <w:bookmarkEnd w:id="95"/>
        </w:tc>
      </w:tr>
    </w:tbl>
    <w:p>
      <w:pPr>
        <w:pStyle w:val="BodyText"/>
      </w:pPr>
      <w:r>
        <w:t xml:space="preserve">Ими подпиывают транзакции, подтверждая владение средствами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6"/>
          <w:p>
            <w:pPr>
              <w:pStyle w:val="Compact"/>
              <w:jc w:val="center"/>
            </w:pPr>
            <w:bookmarkStart w:id="99" w:name="fig-016"/>
            <w:r>
              <w:drawing>
                <wp:inline>
                  <wp:extent cx="3733800" cy="24892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</w:t>
            </w:r>
          </w:p>
          <w:bookmarkEnd w:id="100"/>
        </w:tc>
      </w:tr>
    </w:tbl>
    <w:bookmarkEnd w:id="101"/>
    <w:bookmarkStart w:id="10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Прошла третий блок.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3 блок</dc:title>
  <dc:creator>Абронина Алиса Кирилловна</dc:creator>
  <dc:language>ru-RU</dc:language>
  <cp:keywords/>
  <dcterms:created xsi:type="dcterms:W3CDTF">2026-05-15T00:12:26Z</dcterms:created>
  <dcterms:modified xsi:type="dcterms:W3CDTF">2026-05-15T00:12:26Z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Криптография на практике</vt:lpwstr>
  </property>
  <property fmtid="{D5CDD505-2E9C-101B-9397-08002B2CF9AE}" pid="16" name="toc-title">
    <vt:lpwstr>Содержание</vt:lpwstr>
  </property>
</Properties>
</file>