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340"/>
              <w:left w:type="dxa" w:w="340"/>
              <w:bottom w:type="dxa" w:w="340"/>
              <w:right w:type="dxa" w:w="340"/>
            </w:tcMar>
          </w:tcPr>
          <w:p>
            <w:pPr>
              <w:spacing w:after="60"/>
            </w:pPr>
            <w:r>
              <w:rPr>
                <w:rFonts w:ascii="Calibri" w:cs="Calibri" w:eastAsia="Calibri" w:hAnsi="Calibri"/>
                <w:b/>
                <w:bCs/>
                <w:color w:val="35C4E0"/>
                <w:sz w:val="22"/>
                <w:szCs w:val="22"/>
              </w:rPr>
              <w:t xml:space="preserve">CODEY DEV</w:t>
            </w:r>
          </w:p>
          <w:p>
            <w:pPr>
              <w:spacing w:after="80"/>
            </w:pPr>
            <w:r>
              <w:rPr>
                <w:rFonts w:ascii="Calibri" w:cs="Calibri" w:eastAsia="Calibri" w:hAnsi="Calibri"/>
                <w:b/>
                <w:bCs/>
                <w:color w:val="FFFFFF"/>
                <w:sz w:val="40"/>
                <w:szCs w:val="40"/>
              </w:rPr>
              <w:t xml:space="preserve">Company Policies</w:t>
            </w:r>
          </w:p>
          <w:p>
            <w:r>
              <w:rPr>
                <w:rFonts w:ascii="Calibri" w:cs="Calibri" w:eastAsia="Calibri" w:hAnsi="Calibri"/>
                <w:i/>
                <w:iCs/>
                <w:color w:val="CFEFF7"/>
                <w:sz w:val="22"/>
                <w:szCs w:val="22"/>
              </w:rPr>
              <w:t xml:space="preserve">Codey Dev — Payment, Refund, Revision, Privacy &amp; Support</w:t>
            </w:r>
          </w:p>
        </w:tc>
      </w:tr>
    </w:tbl>
    <w:p>
      <w:pPr>
        <w:spacing w:after="260"/>
      </w:pPr>
    </w:p>
    <w:p>
      <w:pPr>
        <w:spacing w:after="120"/>
      </w:pPr>
      <w:r>
        <w:rPr>
          <w:rFonts w:ascii="Calibri" w:cs="Calibri" w:eastAsia="Calibri" w:hAnsi="Calibri"/>
          <w:color w:val="3A3A3A"/>
          <w:sz w:val="21"/>
          <w:szCs w:val="21"/>
        </w:rPr>
        <w:t xml:space="preserve">These policies work alongside our Terms &amp; Conditions to explain, in practical terms, how payments, changes, cancellations, and data are handled on every Codey Dev project.</w:t>
      </w:r>
    </w:p>
    <w:p>
      <w:pPr>
        <w:pStyle w:val="Heading1"/>
        <w:pBdr>
          <w:bottom w:val="single" w:color="F0522A" w:sz="6"/>
        </w:pBdr>
        <w:spacing w:after="140" w:before="320"/>
      </w:pPr>
      <w:r>
        <w:rPr>
          <w:rFonts w:ascii="Calibri" w:cs="Calibri" w:eastAsia="Calibri" w:hAnsi="Calibri"/>
          <w:b/>
          <w:bCs/>
          <w:color w:val="0E2338"/>
          <w:sz w:val="26"/>
          <w:szCs w:val="26"/>
        </w:rPr>
        <w:t xml:space="preserve">1. Payment Policy</w:t>
      </w:r>
    </w:p>
    <w:p>
      <w:pPr>
        <w:pStyle w:val="ListParagraph"/>
        <w:numPr>
          <w:ilvl w:val="0"/>
          <w:numId w:val="2"/>
        </w:numPr>
        <w:spacing w:after="60"/>
      </w:pPr>
      <w:r>
        <w:rPr>
          <w:rFonts w:ascii="Calibri" w:cs="Calibri" w:eastAsia="Calibri" w:hAnsi="Calibri"/>
          <w:color w:val="3A3A3A"/>
          <w:sz w:val="21"/>
          <w:szCs w:val="21"/>
        </w:rPr>
        <w:t xml:space="preserve">A 50% deposit is required before any work begins. The remaining 50% is due on completion, before final handover of files, source code, or admin/hosting access.</w:t>
      </w:r>
    </w:p>
    <w:p>
      <w:pPr>
        <w:pStyle w:val="ListParagraph"/>
        <w:numPr>
          <w:ilvl w:val="0"/>
          <w:numId w:val="2"/>
        </w:numPr>
        <w:spacing w:after="60"/>
      </w:pPr>
      <w:r>
        <w:rPr>
          <w:rFonts w:ascii="Calibri" w:cs="Calibri" w:eastAsia="Calibri" w:hAnsi="Calibri"/>
          <w:color w:val="3A3A3A"/>
          <w:sz w:val="21"/>
          <w:szCs w:val="21"/>
        </w:rPr>
        <w:t xml:space="preserve">For projects above GH₵ 15,000, payment may be split into milestones (e.g. 40% deposit / 40% at midpoint / 20% on delivery) — this will be stated in the Service Agreement.</w:t>
      </w:r>
    </w:p>
    <w:p>
      <w:pPr>
        <w:pStyle w:val="ListParagraph"/>
        <w:numPr>
          <w:ilvl w:val="0"/>
          <w:numId w:val="2"/>
        </w:numPr>
        <w:spacing w:after="60"/>
      </w:pPr>
      <w:r>
        <w:rPr>
          <w:rFonts w:ascii="Calibri" w:cs="Calibri" w:eastAsia="Calibri" w:hAnsi="Calibri"/>
          <w:color w:val="3A3A3A"/>
          <w:sz w:val="21"/>
          <w:szCs w:val="21"/>
        </w:rPr>
        <w:t xml:space="preserve">Maintenance, hosting management, and SEO retainers are billed monthly in advance, on the same date each month.</w:t>
      </w:r>
    </w:p>
    <w:p>
      <w:pPr>
        <w:pStyle w:val="ListParagraph"/>
        <w:numPr>
          <w:ilvl w:val="0"/>
          <w:numId w:val="2"/>
        </w:numPr>
        <w:spacing w:after="60"/>
      </w:pPr>
      <w:r>
        <w:rPr>
          <w:rFonts w:ascii="Calibri" w:cs="Calibri" w:eastAsia="Calibri" w:hAnsi="Calibri"/>
          <w:color w:val="3A3A3A"/>
          <w:sz w:val="21"/>
          <w:szCs w:val="21"/>
        </w:rPr>
        <w:t xml:space="preserve">Accepted payment channels: MTN Mobile Money, Vodafone Cash, AirtelTigo Money, or bank transfer. Payment details are shared on the invoice.</w:t>
      </w:r>
    </w:p>
    <w:p>
      <w:pPr>
        <w:pStyle w:val="ListParagraph"/>
        <w:numPr>
          <w:ilvl w:val="0"/>
          <w:numId w:val="2"/>
        </w:numPr>
        <w:spacing w:after="60"/>
      </w:pPr>
      <w:r>
        <w:rPr>
          <w:rFonts w:ascii="Calibri" w:cs="Calibri" w:eastAsia="Calibri" w:hAnsi="Calibri"/>
          <w:color w:val="3A3A3A"/>
          <w:sz w:val="21"/>
          <w:szCs w:val="21"/>
        </w:rPr>
        <w:t xml:space="preserve">Receipts are issued for every payment received.</w:t>
      </w:r>
    </w:p>
    <w:p>
      <w:pPr>
        <w:pStyle w:val="ListParagraph"/>
        <w:numPr>
          <w:ilvl w:val="0"/>
          <w:numId w:val="2"/>
        </w:numPr>
        <w:spacing w:after="60"/>
      </w:pPr>
      <w:r>
        <w:rPr>
          <w:rFonts w:ascii="Calibri" w:cs="Calibri" w:eastAsia="Calibri" w:hAnsi="Calibri"/>
          <w:color w:val="3A3A3A"/>
          <w:sz w:val="21"/>
          <w:szCs w:val="21"/>
        </w:rPr>
        <w:t xml:space="preserve">Work is paused if a payment milestone is overdue by more than 7 days, and resumes once payment is confirmed.</w:t>
      </w:r>
    </w:p>
    <w:p>
      <w:pPr>
        <w:pStyle w:val="Heading1"/>
        <w:pBdr>
          <w:bottom w:val="single" w:color="F0522A" w:sz="6"/>
        </w:pBdr>
        <w:spacing w:after="140" w:before="320"/>
      </w:pPr>
      <w:r>
        <w:rPr>
          <w:rFonts w:ascii="Calibri" w:cs="Calibri" w:eastAsia="Calibri" w:hAnsi="Calibri"/>
          <w:b/>
          <w:bCs/>
          <w:color w:val="0E2338"/>
          <w:sz w:val="26"/>
          <w:szCs w:val="26"/>
        </w:rPr>
        <w:t xml:space="preserve">2. Refund &amp; Cancellation Policy</w:t>
      </w:r>
    </w:p>
    <w:p>
      <w:pPr>
        <w:pStyle w:val="Heading2"/>
        <w:spacing w:after="100" w:before="220"/>
      </w:pPr>
      <w:r>
        <w:rPr>
          <w:rFonts w:ascii="Calibri" w:cs="Calibri" w:eastAsia="Calibri" w:hAnsi="Calibri"/>
          <w:b/>
          <w:bCs/>
          <w:color w:val="0E2338"/>
          <w:sz w:val="22"/>
          <w:szCs w:val="22"/>
        </w:rPr>
        <w:t xml:space="preserve">2.1 Before work begins</w:t>
      </w:r>
    </w:p>
    <w:p>
      <w:pPr>
        <w:spacing w:after="120"/>
      </w:pPr>
      <w:r>
        <w:rPr>
          <w:rFonts w:ascii="Calibri" w:cs="Calibri" w:eastAsia="Calibri" w:hAnsi="Calibri"/>
          <w:color w:val="3A3A3A"/>
          <w:sz w:val="21"/>
          <w:szCs w:val="21"/>
        </w:rPr>
        <w:t xml:space="preserve">If the Client cancels before any work has started, the deposit is refundable minus a 10% administrative fee.</w:t>
      </w:r>
    </w:p>
    <w:p>
      <w:pPr>
        <w:pStyle w:val="Heading2"/>
        <w:spacing w:after="100" w:before="220"/>
      </w:pPr>
      <w:r>
        <w:rPr>
          <w:rFonts w:ascii="Calibri" w:cs="Calibri" w:eastAsia="Calibri" w:hAnsi="Calibri"/>
          <w:b/>
          <w:bCs/>
          <w:color w:val="0E2338"/>
          <w:sz w:val="22"/>
          <w:szCs w:val="22"/>
        </w:rPr>
        <w:t xml:space="preserve">2.2 After work has started</w:t>
      </w:r>
    </w:p>
    <w:p>
      <w:pPr>
        <w:spacing w:after="120"/>
      </w:pPr>
      <w:r>
        <w:rPr>
          <w:rFonts w:ascii="Calibri" w:cs="Calibri" w:eastAsia="Calibri" w:hAnsi="Calibri"/>
          <w:color w:val="3A3A3A"/>
          <w:sz w:val="21"/>
          <w:szCs w:val="21"/>
        </w:rPr>
        <w:t xml:space="preserve">Once design or development work has started, the deposit becomes non-refundable, as it covers time and resources already committed. If the Client cancels mid-project:</w:t>
      </w:r>
    </w:p>
    <w:p>
      <w:pPr>
        <w:pStyle w:val="ListParagraph"/>
        <w:numPr>
          <w:ilvl w:val="0"/>
          <w:numId w:val="2"/>
        </w:numPr>
        <w:spacing w:after="60"/>
      </w:pPr>
      <w:r>
        <w:rPr>
          <w:rFonts w:ascii="Calibri" w:cs="Calibri" w:eastAsia="Calibri" w:hAnsi="Calibri"/>
          <w:color w:val="3A3A3A"/>
          <w:sz w:val="21"/>
          <w:szCs w:val="21"/>
        </w:rPr>
        <w:t xml:space="preserve">Codey Dev will invoice for all work completed beyond the deposit value, calculated at standard rates.</w:t>
      </w:r>
    </w:p>
    <w:p>
      <w:pPr>
        <w:pStyle w:val="ListParagraph"/>
        <w:numPr>
          <w:ilvl w:val="0"/>
          <w:numId w:val="2"/>
        </w:numPr>
        <w:spacing w:after="60"/>
      </w:pPr>
      <w:r>
        <w:rPr>
          <w:rFonts w:ascii="Calibri" w:cs="Calibri" w:eastAsia="Calibri" w:hAnsi="Calibri"/>
          <w:color w:val="3A3A3A"/>
          <w:sz w:val="21"/>
          <w:szCs w:val="21"/>
        </w:rPr>
        <w:t xml:space="preserve">The Client receives all work completed and paid for up to the point of cancellation.</w:t>
      </w:r>
    </w:p>
    <w:p>
      <w:pPr>
        <w:pStyle w:val="Heading2"/>
        <w:spacing w:after="100" w:before="220"/>
      </w:pPr>
      <w:r>
        <w:rPr>
          <w:rFonts w:ascii="Calibri" w:cs="Calibri" w:eastAsia="Calibri" w:hAnsi="Calibri"/>
          <w:b/>
          <w:bCs/>
          <w:color w:val="0E2338"/>
          <w:sz w:val="22"/>
          <w:szCs w:val="22"/>
        </w:rPr>
        <w:t xml:space="preserve">2.3 Completed projects</w:t>
      </w:r>
    </w:p>
    <w:p>
      <w:pPr>
        <w:spacing w:after="120"/>
      </w:pPr>
      <w:r>
        <w:rPr>
          <w:rFonts w:ascii="Calibri" w:cs="Calibri" w:eastAsia="Calibri" w:hAnsi="Calibri"/>
          <w:color w:val="3A3A3A"/>
          <w:sz w:val="21"/>
          <w:szCs w:val="21"/>
        </w:rPr>
        <w:t xml:space="preserve">No refunds are issued once a project has been delivered and signed off by the Client, except where Codey Dev fails to deliver the agreed Scope and is unable to remedy the issue within a reasonable time — in which case a partial refund may be negotiated in good faith.</w:t>
      </w:r>
    </w:p>
    <w:p>
      <w:pPr>
        <w:pStyle w:val="Heading1"/>
        <w:pBdr>
          <w:bottom w:val="single" w:color="F0522A" w:sz="6"/>
        </w:pBdr>
        <w:spacing w:after="140" w:before="320"/>
      </w:pPr>
      <w:r>
        <w:rPr>
          <w:rFonts w:ascii="Calibri" w:cs="Calibri" w:eastAsia="Calibri" w:hAnsi="Calibri"/>
          <w:b/>
          <w:bCs/>
          <w:color w:val="0E2338"/>
          <w:sz w:val="26"/>
          <w:szCs w:val="26"/>
        </w:rPr>
        <w:t xml:space="preserve">3. Revision &amp; Change Request Policy</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200"/>
        <w:gridCol w:w="5160"/>
      </w:tblGrid>
      <w:tr>
        <w:trPr>
          <w:tblHeader/>
        </w:trPr>
        <w:tc>
          <w:tcPr>
            <w:tcW w:type="dxa" w:w="42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Situation</w:t>
            </w:r>
          </w:p>
        </w:tc>
        <w:tc>
          <w:tcPr>
            <w:tcW w:type="dxa" w:w="51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Revision within agreed Scope (rounds 1–2)</w:t>
            </w:r>
          </w:p>
        </w:tc>
        <w:tc>
          <w:tcPr>
            <w:tcW w:type="dxa" w:w="5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Included in the project price. Feedback should be consolidated and sent within 14 days of each draft.</w:t>
            </w:r>
          </w:p>
        </w:tc>
      </w:tr>
      <w:tr>
        <w:tc>
          <w:tcPr>
            <w:tcW w:type="dxa" w:w="4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Additional revision rounds (round 3+)</w:t>
            </w:r>
          </w:p>
        </w:tc>
        <w:tc>
          <w:tcPr>
            <w:tcW w:type="dxa" w:w="5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Billed at GH₵ 150 – 400 per round depending on complexity.</w:t>
            </w:r>
          </w:p>
        </w:tc>
      </w:tr>
      <w:tr>
        <w:tc>
          <w:tcPr>
            <w:tcW w:type="dxa" w:w="42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Change that adds new pages/screens/features</w:t>
            </w:r>
          </w:p>
        </w:tc>
        <w:tc>
          <w:tcPr>
            <w:tcW w:type="dxa" w:w="51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Treated as new work — a separate quotation is issued before proceeding.</w:t>
            </w:r>
          </w:p>
        </w:tc>
      </w:tr>
      <w:tr>
        <w:tc>
          <w:tcPr>
            <w:tcW w:type="dxa" w:w="42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Change requested after final sign-off</w:t>
            </w:r>
          </w:p>
        </w:tc>
        <w:tc>
          <w:tcPr>
            <w:tcW w:type="dxa" w:w="51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Treated as a maintenance request or new mini-project, quoted separately.</w:t>
            </w:r>
          </w:p>
        </w:tc>
      </w:tr>
    </w:tbl>
    <w:p>
      <w:pPr>
        <w:spacing w:after="140"/>
      </w:pPr>
    </w:p>
    <w:p>
      <w:pPr>
        <w:spacing w:after="120"/>
      </w:pPr>
      <w:r>
        <w:rPr>
          <w:rFonts w:ascii="Calibri" w:cs="Calibri" w:eastAsia="Calibri" w:hAnsi="Calibri"/>
          <w:color w:val="3A3A3A"/>
          <w:sz w:val="21"/>
          <w:szCs w:val="21"/>
        </w:rPr>
        <w:t xml:space="preserve">"Sign-off" means the Client's written (including WhatsApp/email) confirmation that a deliverable is approved.</w:t>
      </w:r>
    </w:p>
    <w:p>
      <w:pPr>
        <w:pStyle w:val="Heading1"/>
        <w:pBdr>
          <w:bottom w:val="single" w:color="F0522A" w:sz="6"/>
        </w:pBdr>
        <w:spacing w:after="140" w:before="320"/>
      </w:pPr>
      <w:r>
        <w:rPr>
          <w:rFonts w:ascii="Calibri" w:cs="Calibri" w:eastAsia="Calibri" w:hAnsi="Calibri"/>
          <w:b/>
          <w:bCs/>
          <w:color w:val="0E2338"/>
          <w:sz w:val="26"/>
          <w:szCs w:val="26"/>
        </w:rPr>
        <w:t xml:space="preserve">4. Privacy &amp; Confidentiality Policy</w:t>
      </w:r>
    </w:p>
    <w:p>
      <w:pPr>
        <w:pStyle w:val="ListParagraph"/>
        <w:numPr>
          <w:ilvl w:val="0"/>
          <w:numId w:val="2"/>
        </w:numPr>
        <w:spacing w:after="60"/>
      </w:pPr>
      <w:r>
        <w:rPr>
          <w:rFonts w:ascii="Calibri" w:cs="Calibri" w:eastAsia="Calibri" w:hAnsi="Calibri"/>
          <w:color w:val="3A3A3A"/>
          <w:sz w:val="21"/>
          <w:szCs w:val="21"/>
        </w:rPr>
        <w:t xml:space="preserve">Any business data, login credentials, or personal information shared by the Client is used only for the purpose of delivering the agreed project.</w:t>
      </w:r>
    </w:p>
    <w:p>
      <w:pPr>
        <w:pStyle w:val="ListParagraph"/>
        <w:numPr>
          <w:ilvl w:val="0"/>
          <w:numId w:val="2"/>
        </w:numPr>
        <w:spacing w:after="60"/>
      </w:pPr>
      <w:r>
        <w:rPr>
          <w:rFonts w:ascii="Calibri" w:cs="Calibri" w:eastAsia="Calibri" w:hAnsi="Calibri"/>
          <w:color w:val="3A3A3A"/>
          <w:sz w:val="21"/>
          <w:szCs w:val="21"/>
        </w:rPr>
        <w:t xml:space="preserve">Login credentials (hosting, domain registrar, payment gateway, etc.) are stored securely and not shared with third parties beyond what is necessary to complete the work.</w:t>
      </w:r>
    </w:p>
    <w:p>
      <w:pPr>
        <w:pStyle w:val="ListParagraph"/>
        <w:numPr>
          <w:ilvl w:val="0"/>
          <w:numId w:val="2"/>
        </w:numPr>
        <w:spacing w:after="60"/>
      </w:pPr>
      <w:r>
        <w:rPr>
          <w:rFonts w:ascii="Calibri" w:cs="Calibri" w:eastAsia="Calibri" w:hAnsi="Calibri"/>
          <w:color w:val="3A3A3A"/>
          <w:sz w:val="21"/>
          <w:szCs w:val="21"/>
        </w:rPr>
        <w:t xml:space="preserve">Codey Dev does not sell, rent, or share Client data with unrelated third parties.</w:t>
      </w:r>
    </w:p>
    <w:p>
      <w:pPr>
        <w:pStyle w:val="ListParagraph"/>
        <w:numPr>
          <w:ilvl w:val="0"/>
          <w:numId w:val="2"/>
        </w:numPr>
        <w:spacing w:after="60"/>
      </w:pPr>
      <w:r>
        <w:rPr>
          <w:rFonts w:ascii="Calibri" w:cs="Calibri" w:eastAsia="Calibri" w:hAnsi="Calibri"/>
          <w:color w:val="3A3A3A"/>
          <w:sz w:val="21"/>
          <w:szCs w:val="21"/>
        </w:rPr>
        <w:t xml:space="preserve">On request, Codey Dev will delete Client credentials and data from its systems once a project (and any support period) has ended, except where retention is required for legal or accounting purposes.</w:t>
      </w:r>
    </w:p>
    <w:p>
      <w:pPr>
        <w:pStyle w:val="ListParagraph"/>
        <w:numPr>
          <w:ilvl w:val="0"/>
          <w:numId w:val="2"/>
        </w:numPr>
        <w:spacing w:after="60"/>
      </w:pPr>
      <w:r>
        <w:rPr>
          <w:rFonts w:ascii="Calibri" w:cs="Calibri" w:eastAsia="Calibri" w:hAnsi="Calibri"/>
          <w:color w:val="3A3A3A"/>
          <w:sz w:val="21"/>
          <w:szCs w:val="21"/>
        </w:rPr>
        <w:t xml:space="preserve">The Client is responsible for ensuring that any personal data collected through their website/app (e.g. customer sign-ups) complies with Ghana's Data Protection Act, 2012 (Act 843); Codey Dev can advise on technical measures (e.g. secure forms, encrypted storage) but the Client remains the data controller.</w:t>
      </w:r>
    </w:p>
    <w:p>
      <w:pPr>
        <w:pStyle w:val="Heading1"/>
        <w:pBdr>
          <w:bottom w:val="single" w:color="F0522A" w:sz="6"/>
        </w:pBdr>
        <w:spacing w:after="140" w:before="320"/>
      </w:pPr>
      <w:r>
        <w:rPr>
          <w:rFonts w:ascii="Calibri" w:cs="Calibri" w:eastAsia="Calibri" w:hAnsi="Calibri"/>
          <w:b/>
          <w:bCs/>
          <w:color w:val="0E2338"/>
          <w:sz w:val="26"/>
          <w:szCs w:val="26"/>
        </w:rPr>
        <w:t xml:space="preserve">5. Hosting &amp; Maintenance Policy</w:t>
      </w:r>
    </w:p>
    <w:p>
      <w:pPr>
        <w:pStyle w:val="ListParagraph"/>
        <w:numPr>
          <w:ilvl w:val="0"/>
          <w:numId w:val="2"/>
        </w:numPr>
        <w:spacing w:after="60"/>
      </w:pPr>
      <w:r>
        <w:rPr>
          <w:rFonts w:ascii="Calibri" w:cs="Calibri" w:eastAsia="Calibri" w:hAnsi="Calibri"/>
          <w:color w:val="3A3A3A"/>
          <w:sz w:val="21"/>
          <w:szCs w:val="21"/>
        </w:rPr>
        <w:t xml:space="preserve">Where Codey Dev manages hosting on the Client's behalf, hosting fees are billed annually or monthly as agreed, and renewal reminders are sent at least 14 days before expiry.</w:t>
      </w:r>
    </w:p>
    <w:p>
      <w:pPr>
        <w:pStyle w:val="ListParagraph"/>
        <w:numPr>
          <w:ilvl w:val="0"/>
          <w:numId w:val="2"/>
        </w:numPr>
        <w:spacing w:after="60"/>
      </w:pPr>
      <w:r>
        <w:rPr>
          <w:rFonts w:ascii="Calibri" w:cs="Calibri" w:eastAsia="Calibri" w:hAnsi="Calibri"/>
          <w:color w:val="3A3A3A"/>
          <w:sz w:val="21"/>
          <w:szCs w:val="21"/>
        </w:rPr>
        <w:t xml:space="preserve">If a hosting/domain renewal payment is not received before expiry, Codey Dev is not responsible for resulting downtime or loss of the domain, though we will make reasonable efforts to notify the Client in advance.</w:t>
      </w:r>
    </w:p>
    <w:p>
      <w:pPr>
        <w:pStyle w:val="ListParagraph"/>
        <w:numPr>
          <w:ilvl w:val="0"/>
          <w:numId w:val="2"/>
        </w:numPr>
        <w:spacing w:after="60"/>
      </w:pPr>
      <w:r>
        <w:rPr>
          <w:rFonts w:ascii="Calibri" w:cs="Calibri" w:eastAsia="Calibri" w:hAnsi="Calibri"/>
          <w:color w:val="3A3A3A"/>
          <w:sz w:val="21"/>
          <w:szCs w:val="21"/>
        </w:rPr>
        <w:t xml:space="preserve">Clients on a Maintenance Plan receive updates, monitoring, and support as described in the Pricing List for their chosen plan. Clients without a Maintenance Plan are responsible for their own hosting renewals, backups, and security updates after handover.</w:t>
      </w:r>
    </w:p>
    <w:p>
      <w:pPr>
        <w:pStyle w:val="ListParagraph"/>
        <w:numPr>
          <w:ilvl w:val="0"/>
          <w:numId w:val="2"/>
        </w:numPr>
        <w:spacing w:after="60"/>
      </w:pPr>
      <w:r>
        <w:rPr>
          <w:rFonts w:ascii="Calibri" w:cs="Calibri" w:eastAsia="Calibri" w:hAnsi="Calibri"/>
          <w:color w:val="3A3A3A"/>
          <w:sz w:val="21"/>
          <w:szCs w:val="21"/>
        </w:rPr>
        <w:t xml:space="preserve">Emergency support outside a Maintenance Plan (e.g. site down, urgent bug) is available on a pay-per-incident basis, billed at GH₵ 200 – 500 depending on severity and time required.</w:t>
      </w:r>
    </w:p>
    <w:p>
      <w:pPr>
        <w:pStyle w:val="Heading1"/>
        <w:pBdr>
          <w:bottom w:val="single" w:color="F0522A" w:sz="6"/>
        </w:pBdr>
        <w:spacing w:after="140" w:before="320"/>
      </w:pPr>
      <w:r>
        <w:rPr>
          <w:rFonts w:ascii="Calibri" w:cs="Calibri" w:eastAsia="Calibri" w:hAnsi="Calibri"/>
          <w:b/>
          <w:bCs/>
          <w:color w:val="0E2338"/>
          <w:sz w:val="26"/>
          <w:szCs w:val="26"/>
        </w:rPr>
        <w:t xml:space="preserve">6. Data Backup Policy</w:t>
      </w:r>
    </w:p>
    <w:p>
      <w:pPr>
        <w:pStyle w:val="ListParagraph"/>
        <w:numPr>
          <w:ilvl w:val="0"/>
          <w:numId w:val="2"/>
        </w:numPr>
        <w:spacing w:after="60"/>
      </w:pPr>
      <w:r>
        <w:rPr>
          <w:rFonts w:ascii="Calibri" w:cs="Calibri" w:eastAsia="Calibri" w:hAnsi="Calibri"/>
          <w:color w:val="3A3A3A"/>
          <w:sz w:val="21"/>
          <w:szCs w:val="21"/>
        </w:rPr>
        <w:t xml:space="preserve">For projects under an active Maintenance Plan, Codey Dev performs regular backups of the website/system database and files, at a frequency matching the Client's plan (Basic: monthly; Standard/Premium: weekly or better).</w:t>
      </w:r>
    </w:p>
    <w:p>
      <w:pPr>
        <w:pStyle w:val="ListParagraph"/>
        <w:numPr>
          <w:ilvl w:val="0"/>
          <w:numId w:val="2"/>
        </w:numPr>
        <w:spacing w:after="60"/>
      </w:pPr>
      <w:r>
        <w:rPr>
          <w:rFonts w:ascii="Calibri" w:cs="Calibri" w:eastAsia="Calibri" w:hAnsi="Calibri"/>
          <w:color w:val="3A3A3A"/>
          <w:sz w:val="21"/>
          <w:szCs w:val="21"/>
        </w:rPr>
        <w:t xml:space="preserve">Backups are retained for a rolling period and used to restore service in case of technical failure, hacking, or accidental data loss.</w:t>
      </w:r>
    </w:p>
    <w:p>
      <w:pPr>
        <w:pStyle w:val="ListParagraph"/>
        <w:numPr>
          <w:ilvl w:val="0"/>
          <w:numId w:val="2"/>
        </w:numPr>
        <w:spacing w:after="60"/>
      </w:pPr>
      <w:r>
        <w:rPr>
          <w:rFonts w:ascii="Calibri" w:cs="Calibri" w:eastAsia="Calibri" w:hAnsi="Calibri"/>
          <w:color w:val="3A3A3A"/>
          <w:sz w:val="21"/>
          <w:szCs w:val="21"/>
        </w:rPr>
        <w:t xml:space="preserve">For projects without a Maintenance Plan, the Client is responsible for arranging their own backups after handover. Codey Dev can set up automated backup tools as a one-time paid add-on.</w:t>
      </w:r>
    </w:p>
    <w:p>
      <w:pPr>
        <w:spacing w:after="220"/>
      </w:pPr>
    </w:p>
    <w:tbl>
      <w:tblPr>
        <w:tblW w:type="dxa" w:w="9360"/>
        <w:tblBorders>
          <w:top w:val="none" w:color="FFFFFF" w:sz="0"/>
          <w:left w:val="single" w:color="35C4E0" w:sz="24"/>
          <w:bottom w:val="none" w:color="FFFFFF" w:sz="0"/>
          <w:right w:val="none" w:color="FFFFFF" w:sz="0"/>
          <w:insideH w:val="none" w:color="FFFFFF" w:sz="0"/>
          <w:insideV w:val="none" w:color="FFFFFF" w:sz="0"/>
        </w:tblBorders>
      </w:tblPr>
      <w:tblGrid>
        <w:gridCol w:w="9360"/>
      </w:tblGrid>
      <w:tr>
        <w:tc>
          <w:tcPr>
            <w:tcW w:type="dxa" w:w="9360"/>
            <w:shd w:fill="E7F6FA"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Questions About These Policies</w:t>
            </w:r>
          </w:p>
          <w:p>
            <w:r>
              <w:rPr>
                <w:rFonts w:ascii="Calibri" w:cs="Calibri" w:eastAsia="Calibri" w:hAnsi="Calibri"/>
                <w:color w:val="3A3A3A"/>
                <w:sz w:val="20"/>
                <w:szCs w:val="20"/>
              </w:rPr>
              <w:t xml:space="preserve">If anything here is unclear, or your project needs a different arrangement, talk to us before signing the Service Agreement — WhatsApp 0203813606 or email codey.it360@gmail.com.</w:t>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Codey Dev  •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C4E0" w:sz="4"/>
      </w:pBdr>
      <w:tabs>
        <w:tab w:val="right" w:pos="9026"/>
      </w:tabs>
    </w:pPr>
    <w:r>
      <w:rPr>
        <w:rFonts w:ascii="Calibri" w:cs="Calibri" w:eastAsia="Calibri" w:hAnsi="Calibri"/>
        <w:b/>
        <w:bCs/>
        <w:color w:val="0E2338"/>
        <w:sz w:val="16"/>
        <w:szCs w:val="16"/>
      </w:rPr>
      <w:t xml:space="preserve">CODEY DEV</w:t>
    </w:r>
    <w:r>
      <w:rPr>
        <w:rFonts w:ascii="Calibri" w:cs="Calibri" w:eastAsia="Calibri" w:hAnsi="Calibri"/>
        <w:color w:val="888888"/>
        <w:sz w:val="16"/>
        <w:szCs w:val="16"/>
      </w:rPr>
      <w:t xml:space="preserve">	Company Policies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Policies</dc:title>
  <dc:creator>Codey Dev</dc:creator>
  <cp:lastModifiedBy>Un-named</cp:lastModifiedBy>
  <cp:revision>1</cp:revision>
  <dcterms:created xsi:type="dcterms:W3CDTF">2026-08-31T22:40:46.298Z</dcterms:created>
  <dcterms:modified xsi:type="dcterms:W3CDTF">2026-08-31T22:40:46.299Z</dcterms:modified>
</cp:coreProperties>
</file>

<file path=docProps/custom.xml><?xml version="1.0" encoding="utf-8"?>
<Properties xmlns="http://schemas.openxmlformats.org/officeDocument/2006/custom-properties" xmlns:vt="http://schemas.openxmlformats.org/officeDocument/2006/docPropsVTypes"/>
</file>