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b/>
          <w:bCs/>
          <w:color w:val="1F7A6C"/>
          <w:spacing w:val="20"/>
          <w:sz w:val="22"/>
          <w:szCs w:val="22"/>
        </w:rPr>
        <w:t xml:space="preserve">TECHNICAL DESIGN DOCUMENT</w:t>
      </w:r>
    </w:p>
    <w:p>
      <w:pPr>
        <w:pStyle w:val="Title"/>
        <w:spacing w:after="120" w:before="160"/>
      </w:pPr>
      <w:r>
        <w:rPr>
          <w:b/>
          <w:bCs/>
          <w:color w:val="1B2A4A"/>
          <w:sz w:val="56"/>
          <w:szCs w:val="56"/>
        </w:rPr>
        <w:t xml:space="preserve">AI Assistant</w:t>
      </w:r>
    </w:p>
    <w:p>
      <w:pPr>
        <w:pStyle w:val="Subtitle"/>
      </w:pPr>
      <w:r>
        <w:rPr>
          <w:color w:val="5B6572"/>
          <w:sz w:val="26"/>
          <w:szCs w:val="26"/>
        </w:rPr>
        <w:t xml:space="preserve">Architecture, security, and API design — Phase 1</w:t>
      </w:r>
    </w:p>
    <w:p>
      <w:pPr>
        <w:pBdr>
          <w:bottom w:val="single" w:color="D8DCE2" w:sz="4" w:space="1"/>
        </w:pBdr>
        <w:spacing w:after="200" w:before="100"/>
      </w:pPr>
      <w:r>
        <w:t xml:space="preserve"/>
      </w:r>
    </w:p>
    <w:p>
      <w:pPr>
        <w:spacing w:after="60"/>
      </w:pPr>
      <w:r>
        <w:rPr>
          <w:b/>
          <w:bCs/>
          <w:color w:val="5B6572"/>
          <w:sz w:val="19"/>
          <w:szCs w:val="19"/>
        </w:rPr>
        <w:t xml:space="preserve">Prepared for:  </w:t>
      </w:r>
      <w:r>
        <w:rPr>
          <w:color w:val="222831"/>
          <w:sz w:val="19"/>
          <w:szCs w:val="19"/>
        </w:rPr>
        <w:t xml:space="preserve">Voice of UPSA</w:t>
      </w:r>
    </w:p>
    <w:p>
      <w:pPr>
        <w:spacing w:after="60"/>
      </w:pPr>
      <w:r>
        <w:rPr>
          <w:b/>
          <w:bCs/>
          <w:color w:val="5B6572"/>
          <w:sz w:val="19"/>
          <w:szCs w:val="19"/>
        </w:rPr>
        <w:t xml:space="preserve">Prepared by:  </w:t>
      </w:r>
      <w:r>
        <w:rPr>
          <w:color w:val="222831"/>
          <w:sz w:val="19"/>
          <w:szCs w:val="19"/>
        </w:rPr>
        <w:t xml:space="preserve">Codey Dev — Aka Brown</w:t>
      </w:r>
    </w:p>
    <w:p>
      <w:pPr>
        <w:spacing w:after="60"/>
      </w:pPr>
      <w:r>
        <w:rPr>
          <w:b/>
          <w:bCs/>
          <w:color w:val="5B6572"/>
          <w:sz w:val="19"/>
          <w:szCs w:val="19"/>
        </w:rPr>
        <w:t xml:space="preserve">Version:  </w:t>
      </w:r>
      <w:r>
        <w:rPr>
          <w:color w:val="222831"/>
          <w:sz w:val="19"/>
          <w:szCs w:val="19"/>
        </w:rPr>
        <w:t xml:space="preserve">1.0</w:t>
      </w:r>
    </w:p>
    <w:p>
      <w:pPr>
        <w:spacing w:after="60"/>
      </w:pPr>
      <w:r>
        <w:rPr>
          <w:b/>
          <w:bCs/>
          <w:color w:val="5B6572"/>
          <w:sz w:val="19"/>
          <w:szCs w:val="19"/>
        </w:rPr>
        <w:t xml:space="preserve">Repo structure:  </w:t>
      </w:r>
      <w:r>
        <w:rPr>
          <w:color w:val="222831"/>
          <w:sz w:val="19"/>
          <w:szCs w:val="19"/>
        </w:rPr>
        <w:t xml:space="preserve">Feature module inside the existing Voice of UPSA repo; reads from every prior feature’s public data, writes to none of it</w:t>
      </w:r>
    </w:p>
    <w:p>
      <w:r>
        <w:br w:type="page"/>
      </w:r>
    </w:p>
    <w:p>
      <w:pPr>
        <w:sectPr>
          <w:pgSz w:w="12240" w:h="15840" w:orient="portrait"/>
          <w:pgMar w:top="1080" w:right="1080" w:bottom="1080" w:left="1080" w:header="708" w:footer="708" w:gutter="0"/>
          <w:pgNumType/>
          <w:titlePg/>
          <w:docGrid w:linePitch="360"/>
        </w:sectPr>
      </w:pP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headerReference w:type="default" r:id="rId7"/>
          <w:footerReference w:type="default" r:id="rId8"/>
          <w:pgSz w:w="12240" w:h="15840" w:orient="portrait"/>
          <w:pgMar w:top="1080" w:right="1080" w:bottom="1080" w:left="1080" w:header="708" w:footer="708" w:gutter="0"/>
          <w:pgNumType/>
          <w:titlePg w:val="false"/>
          <w:docGrid w:linePitch="360"/>
        </w:sectPr>
      </w:pPr>
    </w:p>
    <w:p>
      <w:pPr>
        <w:pStyle w:val="Heading1"/>
      </w:pPr>
      <w:r>
        <w:t xml:space="preserve">1. Architecture Overview</w:t>
      </w:r>
    </w:p>
    <w:p>
      <w:pPr>
        <w:spacing w:after="120"/>
      </w:pPr>
      <w:r>
        <w:rPr>
          <w:b w:val="false"/>
          <w:bCs w:val="false"/>
          <w:i w:val="false"/>
          <w:iCs w:val="false"/>
          <w:color w:val="222831"/>
          <w:sz w:val="21"/>
          <w:szCs w:val="21"/>
        </w:rPr>
        <w:t xml:space="preserve">A retrieval-augmented generation (RAG) design: the assistant never answers platform-content questions from the model’s own general knowledge — it retrieves matching records from the platform’s own public data first, then has the model write an answer grounded in exactly those records. Every model named below is already part of the standing AI/ML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4200"/>
        <w:gridCol w:w="3780"/>
      </w:tblGrid>
      <w:tr>
        <w:trPr>
          <w:tblHeader/>
        </w:trPr>
        <w:tc>
          <w:tcPr>
            <w:tcW w:type="dxa" w:w="21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Layer</w:t>
            </w:r>
          </w:p>
        </w:tc>
        <w:tc>
          <w:tcPr>
            <w:tcW w:type="dxa" w:w="42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Choice</w:t>
            </w:r>
          </w:p>
        </w:tc>
        <w:tc>
          <w:tcPr>
            <w:tcW w:type="dxa" w:w="37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Notes</w:t>
            </w:r>
          </w:p>
        </w:tc>
      </w:tr>
      <w:tr>
        <w:tc>
          <w:tcPr>
            <w:tcW w:type="dxa" w:w="2100"/>
            <w:tcMar>
              <w:top w:type="dxa" w:w="60"/>
              <w:left w:type="dxa" w:w="90"/>
              <w:bottom w:type="dxa" w:w="60"/>
              <w:right w:type="dxa" w:w="90"/>
            </w:tcMar>
            <w:vAlign w:val="center"/>
          </w:tcPr>
          <w:p>
            <w:r>
              <w:rPr>
                <w:rFonts w:ascii="Calibri" w:cs="Calibri" w:eastAsia="Calibri" w:hAnsi="Calibri"/>
                <w:sz w:val="18"/>
                <w:szCs w:val="18"/>
              </w:rPr>
              <w:t xml:space="preserve">Frontend</w:t>
            </w:r>
          </w:p>
        </w:tc>
        <w:tc>
          <w:tcPr>
            <w:tcW w:type="dxa" w:w="4200"/>
            <w:tcMar>
              <w:top w:type="dxa" w:w="60"/>
              <w:left w:type="dxa" w:w="90"/>
              <w:bottom w:type="dxa" w:w="60"/>
              <w:right w:type="dxa" w:w="90"/>
            </w:tcMar>
            <w:vAlign w:val="center"/>
          </w:tcPr>
          <w:p>
            <w:r>
              <w:rPr>
                <w:rFonts w:ascii="Calibri" w:cs="Calibri" w:eastAsia="Calibri" w:hAnsi="Calibri"/>
                <w:sz w:val="18"/>
                <w:szCs w:val="18"/>
              </w:rPr>
              <w:t xml:space="preserve">Next.js (App Router) + TypeScript + Tailwind + shadcn/ui</w:t>
            </w:r>
          </w:p>
        </w:tc>
        <w:tc>
          <w:tcPr>
            <w:tcW w:type="dxa" w:w="3780"/>
            <w:tcMar>
              <w:top w:type="dxa" w:w="60"/>
              <w:left w:type="dxa" w:w="90"/>
              <w:bottom w:type="dxa" w:w="60"/>
              <w:right w:type="dxa" w:w="90"/>
            </w:tcMar>
            <w:vAlign w:val="center"/>
          </w:tcPr>
          <w:p>
            <w:r>
              <w:rPr>
                <w:rFonts w:ascii="Calibri" w:cs="Calibri" w:eastAsia="Calibri" w:hAnsi="Calibri"/>
                <w:sz w:val="18"/>
                <w:szCs w:val="18"/>
              </w:rPr>
              <w:t xml:space="preserve">A site-wide chat widget, same shell pattern as the Notification Centre’s bell</w:t>
            </w:r>
          </w:p>
        </w:tc>
      </w:tr>
      <w:tr>
        <w:tc>
          <w:tcPr>
            <w:tcW w:type="dxa" w:w="2100"/>
            <w:shd w:fill="F4F6F8" w:val="clear"/>
            <w:tcMar>
              <w:top w:type="dxa" w:w="60"/>
              <w:left w:type="dxa" w:w="90"/>
              <w:bottom w:type="dxa" w:w="60"/>
              <w:right w:type="dxa" w:w="90"/>
            </w:tcMar>
            <w:vAlign w:val="center"/>
          </w:tcPr>
          <w:p>
            <w:r>
              <w:rPr>
                <w:rFonts w:ascii="Calibri" w:cs="Calibri" w:eastAsia="Calibri" w:hAnsi="Calibri"/>
                <w:sz w:val="18"/>
                <w:szCs w:val="18"/>
              </w:rPr>
              <w:t xml:space="preserve">Primary model</w:t>
            </w:r>
          </w:p>
        </w:tc>
        <w:tc>
          <w:tcPr>
            <w:tcW w:type="dxa" w:w="4200"/>
            <w:shd w:fill="F4F6F8" w:val="clear"/>
            <w:tcMar>
              <w:top w:type="dxa" w:w="60"/>
              <w:left w:type="dxa" w:w="90"/>
              <w:bottom w:type="dxa" w:w="60"/>
              <w:right w:type="dxa" w:w="90"/>
            </w:tcMar>
            <w:vAlign w:val="center"/>
          </w:tcPr>
          <w:p>
            <w:r>
              <w:rPr>
                <w:rFonts w:ascii="Calibri" w:cs="Calibri" w:eastAsia="Calibri" w:hAnsi="Calibri"/>
                <w:sz w:val="18"/>
                <w:szCs w:val="18"/>
              </w:rPr>
              <w:t xml:space="preserve">Gemini 1.5 Flash</w:t>
            </w:r>
          </w:p>
        </w:tc>
        <w:tc>
          <w:tcPr>
            <w:tcW w:type="dxa" w:w="3780"/>
            <w:shd w:fill="F4F6F8" w:val="clear"/>
            <w:tcMar>
              <w:top w:type="dxa" w:w="60"/>
              <w:left w:type="dxa" w:w="90"/>
              <w:bottom w:type="dxa" w:w="60"/>
              <w:right w:type="dxa" w:w="90"/>
            </w:tcMar>
            <w:vAlign w:val="center"/>
          </w:tcPr>
          <w:p>
            <w:r>
              <w:rPr>
                <w:rFonts w:ascii="Calibri" w:cs="Calibri" w:eastAsia="Calibri" w:hAnsi="Calibri"/>
                <w:sz w:val="18"/>
                <w:szCs w:val="18"/>
              </w:rPr>
              <w:t xml:space="preserve">Named in the standing AI/ML stack as the fast, multimodal option; chosen here for latency and cost over a heavier model</w:t>
            </w:r>
          </w:p>
        </w:tc>
      </w:tr>
      <w:tr>
        <w:tc>
          <w:tcPr>
            <w:tcW w:type="dxa" w:w="2100"/>
            <w:tcMar>
              <w:top w:type="dxa" w:w="60"/>
              <w:left w:type="dxa" w:w="90"/>
              <w:bottom w:type="dxa" w:w="60"/>
              <w:right w:type="dxa" w:w="90"/>
            </w:tcMar>
            <w:vAlign w:val="center"/>
          </w:tcPr>
          <w:p>
            <w:r>
              <w:rPr>
                <w:rFonts w:ascii="Calibri" w:cs="Calibri" w:eastAsia="Calibri" w:hAnsi="Calibri"/>
                <w:sz w:val="18"/>
                <w:szCs w:val="18"/>
              </w:rPr>
              <w:t xml:space="preserve">Fallback model</w:t>
            </w:r>
          </w:p>
        </w:tc>
        <w:tc>
          <w:tcPr>
            <w:tcW w:type="dxa" w:w="4200"/>
            <w:tcMar>
              <w:top w:type="dxa" w:w="60"/>
              <w:left w:type="dxa" w:w="90"/>
              <w:bottom w:type="dxa" w:w="60"/>
              <w:right w:type="dxa" w:w="90"/>
            </w:tcMar>
            <w:vAlign w:val="center"/>
          </w:tcPr>
          <w:p>
            <w:r>
              <w:rPr>
                <w:rFonts w:ascii="Calibri" w:cs="Calibri" w:eastAsia="Calibri" w:hAnsi="Calibri"/>
                <w:sz w:val="18"/>
                <w:szCs w:val="18"/>
              </w:rPr>
              <w:t xml:space="preserve">Groq (Llama 3 70B)</w:t>
            </w:r>
          </w:p>
        </w:tc>
        <w:tc>
          <w:tcPr>
            <w:tcW w:type="dxa" w:w="3780"/>
            <w:tcMar>
              <w:top w:type="dxa" w:w="60"/>
              <w:left w:type="dxa" w:w="90"/>
              <w:bottom w:type="dxa" w:w="60"/>
              <w:right w:type="dxa" w:w="90"/>
            </w:tcMar>
            <w:vAlign w:val="center"/>
          </w:tcPr>
          <w:p>
            <w:r>
              <w:rPr>
                <w:rFonts w:ascii="Calibri" w:cs="Calibri" w:eastAsia="Calibri" w:hAnsi="Calibri"/>
                <w:sz w:val="18"/>
                <w:szCs w:val="18"/>
              </w:rPr>
              <w:t xml:space="preserve">Also in the standing stack; used if the primary model is unavailable — a documented fallback tier, with Ollama as a further offline option deliberately not built in Phase 1</w:t>
            </w:r>
          </w:p>
        </w:tc>
      </w:tr>
      <w:tr>
        <w:tc>
          <w:tcPr>
            <w:tcW w:type="dxa" w:w="2100"/>
            <w:shd w:fill="F4F6F8" w:val="clear"/>
            <w:tcMar>
              <w:top w:type="dxa" w:w="60"/>
              <w:left w:type="dxa" w:w="90"/>
              <w:bottom w:type="dxa" w:w="60"/>
              <w:right w:type="dxa" w:w="90"/>
            </w:tcMar>
            <w:vAlign w:val="center"/>
          </w:tcPr>
          <w:p>
            <w:r>
              <w:rPr>
                <w:rFonts w:ascii="Calibri" w:cs="Calibri" w:eastAsia="Calibri" w:hAnsi="Calibri"/>
                <w:sz w:val="18"/>
                <w:szCs w:val="18"/>
              </w:rPr>
              <w:t xml:space="preserve">Semantic search</w:t>
            </w:r>
          </w:p>
        </w:tc>
        <w:tc>
          <w:tcPr>
            <w:tcW w:type="dxa" w:w="4200"/>
            <w:shd w:fill="F4F6F8" w:val="clear"/>
            <w:tcMar>
              <w:top w:type="dxa" w:w="60"/>
              <w:left w:type="dxa" w:w="90"/>
              <w:bottom w:type="dxa" w:w="60"/>
              <w:right w:type="dxa" w:w="90"/>
            </w:tcMar>
            <w:vAlign w:val="center"/>
          </w:tcPr>
          <w:p>
            <w:r>
              <w:rPr>
                <w:rFonts w:ascii="Calibri" w:cs="Calibri" w:eastAsia="Calibri" w:hAnsi="Calibri"/>
                <w:sz w:val="18"/>
                <w:szCs w:val="18"/>
              </w:rPr>
              <w:t xml:space="preserve">pgvector on Postgres</w:t>
            </w:r>
          </w:p>
        </w:tc>
        <w:tc>
          <w:tcPr>
            <w:tcW w:type="dxa" w:w="3780"/>
            <w:shd w:fill="F4F6F8" w:val="clear"/>
            <w:tcMar>
              <w:top w:type="dxa" w:w="60"/>
              <w:left w:type="dxa" w:w="90"/>
              <w:bottom w:type="dxa" w:w="60"/>
              <w:right w:type="dxa" w:w="90"/>
            </w:tcMar>
            <w:vAlign w:val="center"/>
          </w:tcPr>
          <w:p>
            <w:r>
              <w:rPr>
                <w:rFonts w:ascii="Calibri" w:cs="Calibri" w:eastAsia="Calibri" w:hAnsi="Calibri"/>
                <w:sz w:val="18"/>
                <w:szCs w:val="18"/>
              </w:rPr>
              <w:t xml:space="preserve">Standing stack choice; one unified index across every in-scope content type (Section 5.1)</w:t>
            </w:r>
          </w:p>
        </w:tc>
      </w:tr>
      <w:tr>
        <w:tc>
          <w:tcPr>
            <w:tcW w:type="dxa" w:w="2100"/>
            <w:tcMar>
              <w:top w:type="dxa" w:w="60"/>
              <w:left w:type="dxa" w:w="90"/>
              <w:bottom w:type="dxa" w:w="60"/>
              <w:right w:type="dxa" w:w="90"/>
            </w:tcMar>
            <w:vAlign w:val="center"/>
          </w:tcPr>
          <w:p>
            <w:r>
              <w:rPr>
                <w:rFonts w:ascii="Calibri" w:cs="Calibri" w:eastAsia="Calibri" w:hAnsi="Calibri"/>
                <w:sz w:val="18"/>
                <w:szCs w:val="18"/>
              </w:rPr>
              <w:t xml:space="preserve">Backend</w:t>
            </w:r>
          </w:p>
        </w:tc>
        <w:tc>
          <w:tcPr>
            <w:tcW w:type="dxa" w:w="4200"/>
            <w:tcMar>
              <w:top w:type="dxa" w:w="60"/>
              <w:left w:type="dxa" w:w="90"/>
              <w:bottom w:type="dxa" w:w="60"/>
              <w:right w:type="dxa" w:w="90"/>
            </w:tcMar>
            <w:vAlign w:val="center"/>
          </w:tcPr>
          <w:p>
            <w:r>
              <w:rPr>
                <w:rFonts w:ascii="Calibri" w:cs="Calibri" w:eastAsia="Calibri" w:hAnsi="Calibri"/>
                <w:sz w:val="18"/>
                <w:szCs w:val="18"/>
              </w:rPr>
              <w:t xml:space="preserve">Next.js Server Actions + Supabase (Postgres, Auth)</w:t>
            </w:r>
          </w:p>
        </w:tc>
        <w:tc>
          <w:tcPr>
            <w:tcW w:type="dxa" w:w="3780"/>
            <w:tcMar>
              <w:top w:type="dxa" w:w="60"/>
              <w:left w:type="dxa" w:w="90"/>
              <w:bottom w:type="dxa" w:w="60"/>
              <w:right w:type="dxa" w:w="90"/>
            </w:tcMar>
            <w:vAlign w:val="center"/>
          </w:tcPr>
          <w:p>
            <w:r>
              <w:rPr>
                <w:rFonts w:ascii="Calibri" w:cs="Calibri" w:eastAsia="Calibri" w:hAnsi="Calibri"/>
                <w:sz w:val="18"/>
                <w:szCs w:val="18"/>
              </w:rPr>
              <w:t xml:space="preserve">No Realtime needed — responses stream over a standard request</w:t>
            </w:r>
          </w:p>
        </w:tc>
      </w:tr>
      <w:tr>
        <w:tc>
          <w:tcPr>
            <w:tcW w:type="dxa" w:w="2100"/>
            <w:shd w:fill="F4F6F8" w:val="clear"/>
            <w:tcMar>
              <w:top w:type="dxa" w:w="60"/>
              <w:left w:type="dxa" w:w="90"/>
              <w:bottom w:type="dxa" w:w="60"/>
              <w:right w:type="dxa" w:w="90"/>
            </w:tcMar>
            <w:vAlign w:val="center"/>
          </w:tcPr>
          <w:p>
            <w:r>
              <w:rPr>
                <w:rFonts w:ascii="Calibri" w:cs="Calibri" w:eastAsia="Calibri" w:hAnsi="Calibri"/>
                <w:sz w:val="18"/>
                <w:szCs w:val="18"/>
              </w:rPr>
              <w:t xml:space="preserve">Validation</w:t>
            </w:r>
          </w:p>
        </w:tc>
        <w:tc>
          <w:tcPr>
            <w:tcW w:type="dxa" w:w="4200"/>
            <w:shd w:fill="F4F6F8" w:val="clear"/>
            <w:tcMar>
              <w:top w:type="dxa" w:w="60"/>
              <w:left w:type="dxa" w:w="90"/>
              <w:bottom w:type="dxa" w:w="60"/>
              <w:right w:type="dxa" w:w="90"/>
            </w:tcMar>
            <w:vAlign w:val="center"/>
          </w:tcPr>
          <w:p>
            <w:r>
              <w:rPr>
                <w:rFonts w:ascii="Calibri" w:cs="Calibri" w:eastAsia="Calibri" w:hAnsi="Calibri"/>
                <w:sz w:val="18"/>
                <w:szCs w:val="18"/>
              </w:rPr>
              <w:t xml:space="preserve">Zod</w:t>
            </w:r>
          </w:p>
        </w:tc>
        <w:tc>
          <w:tcPr>
            <w:tcW w:type="dxa" w:w="3780"/>
            <w:shd w:fill="F4F6F8" w:val="clear"/>
            <w:tcMar>
              <w:top w:type="dxa" w:w="60"/>
              <w:left w:type="dxa" w:w="90"/>
              <w:bottom w:type="dxa" w:w="60"/>
              <w:right w:type="dxa" w:w="90"/>
            </w:tcMar>
            <w:vAlign w:val="center"/>
          </w:tcPr>
          <w:p>
            <w:r>
              <w:rPr>
                <w:rFonts w:ascii="Calibri" w:cs="Calibri" w:eastAsia="Calibri" w:hAnsi="Calibri"/>
                <w:sz w:val="18"/>
                <w:szCs w:val="18"/>
              </w:rPr>
              <w:t xml:space="preserve">Shared schema for assistant requests and the seller copy helper’s structured input</w:t>
            </w:r>
          </w:p>
        </w:tc>
      </w:tr>
      <w:tr>
        <w:tc>
          <w:tcPr>
            <w:tcW w:type="dxa" w:w="2100"/>
            <w:tcMar>
              <w:top w:type="dxa" w:w="60"/>
              <w:left w:type="dxa" w:w="90"/>
              <w:bottom w:type="dxa" w:w="60"/>
              <w:right w:type="dxa" w:w="90"/>
            </w:tcMar>
            <w:vAlign w:val="center"/>
          </w:tcPr>
          <w:p>
            <w:r>
              <w:rPr>
                <w:rFonts w:ascii="Calibri" w:cs="Calibri" w:eastAsia="Calibri" w:hAnsi="Calibri"/>
                <w:sz w:val="18"/>
                <w:szCs w:val="18"/>
              </w:rPr>
              <w:t xml:space="preserve">Abuse &amp; cost protection</w:t>
            </w:r>
          </w:p>
        </w:tc>
        <w:tc>
          <w:tcPr>
            <w:tcW w:type="dxa" w:w="4200"/>
            <w:tcMar>
              <w:top w:type="dxa" w:w="60"/>
              <w:left w:type="dxa" w:w="90"/>
              <w:bottom w:type="dxa" w:w="60"/>
              <w:right w:type="dxa" w:w="90"/>
            </w:tcMar>
            <w:vAlign w:val="center"/>
          </w:tcPr>
          <w:p>
            <w:r>
              <w:rPr>
                <w:rFonts w:ascii="Calibri" w:cs="Calibri" w:eastAsia="Calibri" w:hAnsi="Calibri"/>
                <w:sz w:val="18"/>
                <w:szCs w:val="18"/>
              </w:rPr>
              <w:t xml:space="preserve">Arcjet</w:t>
            </w:r>
          </w:p>
        </w:tc>
        <w:tc>
          <w:tcPr>
            <w:tcW w:type="dxa" w:w="3780"/>
            <w:tcMar>
              <w:top w:type="dxa" w:w="60"/>
              <w:left w:type="dxa" w:w="90"/>
              <w:bottom w:type="dxa" w:w="60"/>
              <w:right w:type="dxa" w:w="90"/>
            </w:tcMar>
            <w:vAlign w:val="center"/>
          </w:tcPr>
          <w:p>
            <w:r>
              <w:rPr>
                <w:rFonts w:ascii="Calibri" w:cs="Calibri" w:eastAsia="Calibri" w:hAnsi="Calibri"/>
                <w:sz w:val="18"/>
                <w:szCs w:val="18"/>
              </w:rPr>
              <w:t xml:space="preserve">Per-user and per-IP rate limits on every assistant endpoint — the direct cost-control lever for a feature where each request costs real money (T5)</w:t>
            </w:r>
          </w:p>
        </w:tc>
      </w:tr>
      <w:tr>
        <w:tc>
          <w:tcPr>
            <w:tcW w:type="dxa" w:w="2100"/>
            <w:shd w:fill="F4F6F8" w:val="clear"/>
            <w:tcMar>
              <w:top w:type="dxa" w:w="60"/>
              <w:left w:type="dxa" w:w="90"/>
              <w:bottom w:type="dxa" w:w="60"/>
              <w:right w:type="dxa" w:w="90"/>
            </w:tcMar>
            <w:vAlign w:val="center"/>
          </w:tcPr>
          <w:p>
            <w:r>
              <w:rPr>
                <w:rFonts w:ascii="Calibri" w:cs="Calibri" w:eastAsia="Calibri" w:hAnsi="Calibri"/>
                <w:sz w:val="18"/>
                <w:szCs w:val="18"/>
              </w:rPr>
              <w:t xml:space="preserve">Audit</w:t>
            </w:r>
          </w:p>
        </w:tc>
        <w:tc>
          <w:tcPr>
            <w:tcW w:type="dxa" w:w="4200"/>
            <w:shd w:fill="F4F6F8" w:val="clear"/>
            <w:tcMar>
              <w:top w:type="dxa" w:w="60"/>
              <w:left w:type="dxa" w:w="90"/>
              <w:bottom w:type="dxa" w:w="60"/>
              <w:right w:type="dxa" w:w="90"/>
            </w:tcMar>
            <w:vAlign w:val="center"/>
          </w:tcPr>
          <w:p>
            <w:r>
              <w:rPr>
                <w:rFonts w:ascii="Calibri" w:cs="Calibri" w:eastAsia="Calibri" w:hAnsi="Calibri"/>
                <w:sz w:val="18"/>
                <w:szCs w:val="18"/>
              </w:rPr>
              <w:t xml:space="preserve">Shared public.audit_logs</w:t>
            </w:r>
          </w:p>
        </w:tc>
        <w:tc>
          <w:tcPr>
            <w:tcW w:type="dxa" w:w="3780"/>
            <w:shd w:fill="F4F6F8" w:val="clear"/>
            <w:tcMar>
              <w:top w:type="dxa" w:w="60"/>
              <w:left w:type="dxa" w:w="90"/>
              <w:bottom w:type="dxa" w:w="60"/>
              <w:right w:type="dxa" w:w="90"/>
            </w:tcMar>
            <w:vAlign w:val="center"/>
          </w:tcPr>
          <w:p>
            <w:r>
              <w:rPr>
                <w:rFonts w:ascii="Calibri" w:cs="Calibri" w:eastAsia="Calibri" w:hAnsi="Calibri"/>
                <w:sz w:val="18"/>
                <w:szCs w:val="18"/>
              </w:rPr>
              <w:t xml:space="preserve">Log-reviewer access to stored queries writes here (Section 6)</w:t>
            </w:r>
          </w:p>
        </w:tc>
      </w:tr>
      <w:tr>
        <w:tc>
          <w:tcPr>
            <w:tcW w:type="dxa" w:w="2100"/>
            <w:tcMar>
              <w:top w:type="dxa" w:w="60"/>
              <w:left w:type="dxa" w:w="90"/>
              <w:bottom w:type="dxa" w:w="60"/>
              <w:right w:type="dxa" w:w="90"/>
            </w:tcMar>
            <w:vAlign w:val="center"/>
          </w:tcPr>
          <w:p>
            <w:r>
              <w:rPr>
                <w:rFonts w:ascii="Calibri" w:cs="Calibri" w:eastAsia="Calibri" w:hAnsi="Calibri"/>
                <w:sz w:val="18"/>
                <w:szCs w:val="18"/>
              </w:rPr>
              <w:t xml:space="preserve">Deployment</w:t>
            </w:r>
          </w:p>
        </w:tc>
        <w:tc>
          <w:tcPr>
            <w:tcW w:type="dxa" w:w="4200"/>
            <w:tcMar>
              <w:top w:type="dxa" w:w="60"/>
              <w:left w:type="dxa" w:w="90"/>
              <w:bottom w:type="dxa" w:w="60"/>
              <w:right w:type="dxa" w:w="90"/>
            </w:tcMar>
            <w:vAlign w:val="center"/>
          </w:tcPr>
          <w:p>
            <w:r>
              <w:rPr>
                <w:rFonts w:ascii="Calibri" w:cs="Calibri" w:eastAsia="Calibri" w:hAnsi="Calibri"/>
                <w:sz w:val="18"/>
                <w:szCs w:val="18"/>
              </w:rPr>
              <w:t xml:space="preserve">Vercel</w:t>
            </w:r>
          </w:p>
        </w:tc>
        <w:tc>
          <w:tcPr>
            <w:tcW w:type="dxa" w:w="3780"/>
            <w:tcMar>
              <w:top w:type="dxa" w:w="60"/>
              <w:left w:type="dxa" w:w="90"/>
              <w:bottom w:type="dxa" w:w="60"/>
              <w:right w:type="dxa" w:w="90"/>
            </w:tcMar>
            <w:vAlign w:val="center"/>
          </w:tcPr>
          <w:p>
            <w:r>
              <w:rPr>
                <w:rFonts w:ascii="Calibri" w:cs="Calibri" w:eastAsia="Calibri" w:hAnsi="Calibri"/>
                <w:sz w:val="18"/>
                <w:szCs w:val="18"/>
              </w:rPr>
              <w:t xml:space="preserve">Same project as the rest of Voice of UPSA</w:t>
            </w:r>
          </w:p>
        </w:tc>
      </w:tr>
    </w:tbl>
    <w:p>
      <w:pPr>
        <w:pStyle w:val="Heading1"/>
      </w:pPr>
      <w:r>
        <w:t xml:space="preserve">2. Roles &amp; Permission Matrix</w:t>
      </w:r>
    </w:p>
    <w:tbl>
      <w:tblPr>
        <w:tblW w:type="dxa" w:w="9280"/>
        <w:tblBorders>
          <w:top w:val="single" w:color="auto" w:sz="4"/>
          <w:left w:val="single" w:color="auto" w:sz="4"/>
          <w:bottom w:val="single" w:color="auto" w:sz="4"/>
          <w:right w:val="single" w:color="auto" w:sz="4"/>
          <w:insideH w:val="single" w:color="auto" w:sz="4"/>
          <w:insideV w:val="single" w:color="auto" w:sz="4"/>
        </w:tblBorders>
      </w:tblPr>
      <w:tblGrid>
        <w:gridCol w:w="2160"/>
        <w:gridCol w:w="1350"/>
        <w:gridCol w:w="1900"/>
        <w:gridCol w:w="1900"/>
        <w:gridCol w:w="1970"/>
      </w:tblGrid>
      <w:tr>
        <w:trPr>
          <w:tblHeader/>
        </w:trPr>
        <w:tc>
          <w:tcPr>
            <w:tcW w:type="dxa" w:w="216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Resource</w:t>
            </w:r>
          </w:p>
        </w:tc>
        <w:tc>
          <w:tcPr>
            <w:tcW w:type="dxa" w:w="135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Visitor</w:t>
            </w:r>
          </w:p>
        </w:tc>
        <w:tc>
          <w:tcPr>
            <w:tcW w:type="dxa" w:w="19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User</w:t>
            </w:r>
          </w:p>
        </w:tc>
        <w:tc>
          <w:tcPr>
            <w:tcW w:type="dxa" w:w="19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Seller (verified)</w:t>
            </w:r>
          </w:p>
        </w:tc>
        <w:tc>
          <w:tcPr>
            <w:tcW w:type="dxa" w:w="197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Log reviewer (rare flag)</w:t>
            </w:r>
          </w:p>
        </w:tc>
      </w:tr>
      <w:tr>
        <w:tc>
          <w:tcPr>
            <w:tcW w:type="dxa" w:w="2160"/>
            <w:tcMar>
              <w:top w:type="dxa" w:w="60"/>
              <w:left w:type="dxa" w:w="90"/>
              <w:bottom w:type="dxa" w:w="60"/>
              <w:right w:type="dxa" w:w="90"/>
            </w:tcMar>
            <w:vAlign w:val="center"/>
          </w:tcPr>
          <w:p>
            <w:r>
              <w:rPr>
                <w:rFonts w:ascii="Calibri" w:cs="Calibri" w:eastAsia="Calibri" w:hAnsi="Calibri"/>
                <w:sz w:val="18"/>
                <w:szCs w:val="18"/>
              </w:rPr>
              <w:t xml:space="preserve">General assistant (chat)</w:t>
            </w:r>
          </w:p>
        </w:tc>
        <w:tc>
          <w:tcPr>
            <w:tcW w:type="dxa" w:w="1350"/>
            <w:tcMar>
              <w:top w:type="dxa" w:w="60"/>
              <w:left w:type="dxa" w:w="90"/>
              <w:bottom w:type="dxa" w:w="60"/>
              <w:right w:type="dxa" w:w="90"/>
            </w:tcMar>
            <w:vAlign w:val="center"/>
          </w:tcPr>
          <w:p>
            <w:r>
              <w:rPr>
                <w:rFonts w:ascii="Calibri" w:cs="Calibri" w:eastAsia="Calibri" w:hAnsi="Calibri"/>
                <w:sz w:val="18"/>
                <w:szCs w:val="18"/>
              </w:rPr>
              <w:t xml:space="preserve">Yes, rate-limited</w:t>
            </w:r>
          </w:p>
        </w:tc>
        <w:tc>
          <w:tcPr>
            <w:tcW w:type="dxa" w:w="1900"/>
            <w:tcMar>
              <w:top w:type="dxa" w:w="60"/>
              <w:left w:type="dxa" w:w="90"/>
              <w:bottom w:type="dxa" w:w="60"/>
              <w:right w:type="dxa" w:w="90"/>
            </w:tcMar>
            <w:vAlign w:val="center"/>
          </w:tcPr>
          <w:p>
            <w:r>
              <w:rPr>
                <w:rFonts w:ascii="Calibri" w:cs="Calibri" w:eastAsia="Calibri" w:hAnsi="Calibri"/>
                <w:sz w:val="18"/>
                <w:szCs w:val="18"/>
              </w:rPr>
              <w:t xml:space="preserve">Yes, rate-limited</w:t>
            </w:r>
          </w:p>
        </w:tc>
        <w:tc>
          <w:tcPr>
            <w:tcW w:type="dxa" w:w="1900"/>
            <w:tcMar>
              <w:top w:type="dxa" w:w="60"/>
              <w:left w:type="dxa" w:w="90"/>
              <w:bottom w:type="dxa" w:w="60"/>
              <w:right w:type="dxa" w:w="90"/>
            </w:tcMar>
            <w:vAlign w:val="center"/>
          </w:tcPr>
          <w:p>
            <w:r>
              <w:rPr>
                <w:rFonts w:ascii="Calibri" w:cs="Calibri" w:eastAsia="Calibri" w:hAnsi="Calibri"/>
                <w:sz w:val="18"/>
                <w:szCs w:val="18"/>
              </w:rPr>
              <w:t xml:space="preserve">Yes</w:t>
            </w:r>
          </w:p>
        </w:tc>
        <w:tc>
          <w:tcPr>
            <w:tcW w:type="dxa" w:w="1970"/>
            <w:tcMar>
              <w:top w:type="dxa" w:w="60"/>
              <w:left w:type="dxa" w:w="90"/>
              <w:bottom w:type="dxa" w:w="60"/>
              <w:right w:type="dxa" w:w="90"/>
            </w:tcMar>
            <w:vAlign w:val="center"/>
          </w:tcPr>
          <w:p>
            <w:r>
              <w:rPr>
                <w:rFonts w:ascii="Calibri" w:cs="Calibri" w:eastAsia="Calibri" w:hAnsi="Calibri"/>
                <w:sz w:val="18"/>
                <w:szCs w:val="18"/>
              </w:rPr>
              <w:t xml:space="preserve">n/a</w:t>
            </w:r>
          </w:p>
        </w:tc>
      </w:tr>
      <w:tr>
        <w:tc>
          <w:tcPr>
            <w:tcW w:type="dxa" w:w="2160"/>
            <w:shd w:fill="F4F6F8" w:val="clear"/>
            <w:tcMar>
              <w:top w:type="dxa" w:w="60"/>
              <w:left w:type="dxa" w:w="90"/>
              <w:bottom w:type="dxa" w:w="60"/>
              <w:right w:type="dxa" w:w="90"/>
            </w:tcMar>
            <w:vAlign w:val="center"/>
          </w:tcPr>
          <w:p>
            <w:r>
              <w:rPr>
                <w:rFonts w:ascii="Calibri" w:cs="Calibri" w:eastAsia="Calibri" w:hAnsi="Calibri"/>
                <w:sz w:val="18"/>
                <w:szCs w:val="18"/>
              </w:rPr>
              <w:t xml:space="preserve">Seller copy helper</w:t>
            </w:r>
          </w:p>
        </w:tc>
        <w:tc>
          <w:tcPr>
            <w:tcW w:type="dxa" w:w="1350"/>
            <w:shd w:fill="F4F6F8" w:val="clear"/>
            <w:tcMar>
              <w:top w:type="dxa" w:w="60"/>
              <w:left w:type="dxa" w:w="90"/>
              <w:bottom w:type="dxa" w:w="60"/>
              <w:right w:type="dxa" w:w="90"/>
            </w:tcMar>
            <w:vAlign w:val="center"/>
          </w:tcPr>
          <w:p>
            <w:r>
              <w:rPr>
                <w:rFonts w:ascii="Calibri" w:cs="Calibri" w:eastAsia="Calibri" w:hAnsi="Calibri"/>
                <w:sz w:val="18"/>
                <w:szCs w:val="18"/>
              </w:rPr>
              <w:t xml:space="preserve">No</w:t>
            </w:r>
          </w:p>
        </w:tc>
        <w:tc>
          <w:tcPr>
            <w:tcW w:type="dxa" w:w="1900"/>
            <w:shd w:fill="F4F6F8" w:val="clear"/>
            <w:tcMar>
              <w:top w:type="dxa" w:w="60"/>
              <w:left w:type="dxa" w:w="90"/>
              <w:bottom w:type="dxa" w:w="60"/>
              <w:right w:type="dxa" w:w="90"/>
            </w:tcMar>
            <w:vAlign w:val="center"/>
          </w:tcPr>
          <w:p>
            <w:r>
              <w:rPr>
                <w:rFonts w:ascii="Calibri" w:cs="Calibri" w:eastAsia="Calibri" w:hAnsi="Calibri"/>
                <w:sz w:val="18"/>
                <w:szCs w:val="18"/>
              </w:rPr>
              <w:t xml:space="preserve">No</w:t>
            </w:r>
          </w:p>
        </w:tc>
        <w:tc>
          <w:tcPr>
            <w:tcW w:type="dxa" w:w="1900"/>
            <w:shd w:fill="F4F6F8" w:val="clear"/>
            <w:tcMar>
              <w:top w:type="dxa" w:w="60"/>
              <w:left w:type="dxa" w:w="90"/>
              <w:bottom w:type="dxa" w:w="60"/>
              <w:right w:type="dxa" w:w="90"/>
            </w:tcMar>
            <w:vAlign w:val="center"/>
          </w:tcPr>
          <w:p>
            <w:r>
              <w:rPr>
                <w:rFonts w:ascii="Calibri" w:cs="Calibri" w:eastAsia="Calibri" w:hAnsi="Calibri"/>
                <w:sz w:val="18"/>
                <w:szCs w:val="18"/>
              </w:rPr>
              <w:t xml:space="preserve">Yes, inside own product form only</w:t>
            </w:r>
          </w:p>
        </w:tc>
        <w:tc>
          <w:tcPr>
            <w:tcW w:type="dxa" w:w="1970"/>
            <w:shd w:fill="F4F6F8" w:val="clear"/>
            <w:tcMar>
              <w:top w:type="dxa" w:w="60"/>
              <w:left w:type="dxa" w:w="90"/>
              <w:bottom w:type="dxa" w:w="60"/>
              <w:right w:type="dxa" w:w="90"/>
            </w:tcMar>
            <w:vAlign w:val="center"/>
          </w:tcPr>
          <w:p>
            <w:r>
              <w:rPr>
                <w:rFonts w:ascii="Calibri" w:cs="Calibri" w:eastAsia="Calibri" w:hAnsi="Calibri"/>
                <w:sz w:val="18"/>
                <w:szCs w:val="18"/>
              </w:rPr>
              <w:t xml:space="preserve">n/a</w:t>
            </w:r>
          </w:p>
        </w:tc>
      </w:tr>
      <w:tr>
        <w:tc>
          <w:tcPr>
            <w:tcW w:type="dxa" w:w="2160"/>
            <w:tcMar>
              <w:top w:type="dxa" w:w="60"/>
              <w:left w:type="dxa" w:w="90"/>
              <w:bottom w:type="dxa" w:w="60"/>
              <w:right w:type="dxa" w:w="90"/>
            </w:tcMar>
            <w:vAlign w:val="center"/>
          </w:tcPr>
          <w:p>
            <w:r>
              <w:rPr>
                <w:rFonts w:ascii="Calibri" w:cs="Calibri" w:eastAsia="Calibri" w:hAnsi="Calibri"/>
                <w:sz w:val="18"/>
                <w:szCs w:val="18"/>
              </w:rPr>
              <w:t xml:space="preserve">Retrieval scope</w:t>
            </w:r>
          </w:p>
        </w:tc>
        <w:tc>
          <w:tcPr>
            <w:tcW w:type="dxa" w:w="1350"/>
            <w:tcMar>
              <w:top w:type="dxa" w:w="60"/>
              <w:left w:type="dxa" w:w="90"/>
              <w:bottom w:type="dxa" w:w="60"/>
              <w:right w:type="dxa" w:w="90"/>
            </w:tcMar>
            <w:vAlign w:val="center"/>
          </w:tcPr>
          <w:p>
            <w:r>
              <w:rPr>
                <w:rFonts w:ascii="Calibri" w:cs="Calibri" w:eastAsia="Calibri" w:hAnsi="Calibri"/>
                <w:sz w:val="18"/>
                <w:szCs w:val="18"/>
              </w:rPr>
              <w:t xml:space="preserve">Public data only</w:t>
            </w:r>
          </w:p>
        </w:tc>
        <w:tc>
          <w:tcPr>
            <w:tcW w:type="dxa" w:w="1900"/>
            <w:tcMar>
              <w:top w:type="dxa" w:w="60"/>
              <w:left w:type="dxa" w:w="90"/>
              <w:bottom w:type="dxa" w:w="60"/>
              <w:right w:type="dxa" w:w="90"/>
            </w:tcMar>
            <w:vAlign w:val="center"/>
          </w:tcPr>
          <w:p>
            <w:r>
              <w:rPr>
                <w:rFonts w:ascii="Calibri" w:cs="Calibri" w:eastAsia="Calibri" w:hAnsi="Calibri"/>
                <w:sz w:val="18"/>
                <w:szCs w:val="18"/>
              </w:rPr>
              <w:t xml:space="preserve">Public data only (same RLS as a normal session)</w:t>
            </w:r>
          </w:p>
        </w:tc>
        <w:tc>
          <w:tcPr>
            <w:tcW w:type="dxa" w:w="1900"/>
            <w:tcMar>
              <w:top w:type="dxa" w:w="60"/>
              <w:left w:type="dxa" w:w="90"/>
              <w:bottom w:type="dxa" w:w="60"/>
              <w:right w:type="dxa" w:w="90"/>
            </w:tcMar>
            <w:vAlign w:val="center"/>
          </w:tcPr>
          <w:p>
            <w:r>
              <w:rPr>
                <w:rFonts w:ascii="Calibri" w:cs="Calibri" w:eastAsia="Calibri" w:hAnsi="Calibri"/>
                <w:sz w:val="18"/>
                <w:szCs w:val="18"/>
              </w:rPr>
              <w:t xml:space="preserve">Same</w:t>
            </w:r>
          </w:p>
        </w:tc>
        <w:tc>
          <w:tcPr>
            <w:tcW w:type="dxa" w:w="1970"/>
            <w:tcMar>
              <w:top w:type="dxa" w:w="60"/>
              <w:left w:type="dxa" w:w="90"/>
              <w:bottom w:type="dxa" w:w="60"/>
              <w:right w:type="dxa" w:w="90"/>
            </w:tcMar>
            <w:vAlign w:val="center"/>
          </w:tcPr>
          <w:p>
            <w:r>
              <w:rPr>
                <w:rFonts w:ascii="Calibri" w:cs="Calibri" w:eastAsia="Calibri" w:hAnsi="Calibri"/>
                <w:sz w:val="18"/>
                <w:szCs w:val="18"/>
              </w:rPr>
              <w:t xml:space="preserve">n/a</w:t>
            </w:r>
          </w:p>
        </w:tc>
      </w:tr>
      <w:tr>
        <w:tc>
          <w:tcPr>
            <w:tcW w:type="dxa" w:w="2160"/>
            <w:shd w:fill="F4F6F8" w:val="clear"/>
            <w:tcMar>
              <w:top w:type="dxa" w:w="60"/>
              <w:left w:type="dxa" w:w="90"/>
              <w:bottom w:type="dxa" w:w="60"/>
              <w:right w:type="dxa" w:w="90"/>
            </w:tcMar>
            <w:vAlign w:val="center"/>
          </w:tcPr>
          <w:p>
            <w:r>
              <w:rPr>
                <w:rFonts w:ascii="Calibri" w:cs="Calibri" w:eastAsia="Calibri" w:hAnsi="Calibri"/>
                <w:sz w:val="18"/>
                <w:szCs w:val="18"/>
              </w:rPr>
              <w:t xml:space="preserve">Read stored query logs</w:t>
            </w:r>
          </w:p>
        </w:tc>
        <w:tc>
          <w:tcPr>
            <w:tcW w:type="dxa" w:w="1350"/>
            <w:shd w:fill="F4F6F8" w:val="clear"/>
            <w:tcMar>
              <w:top w:type="dxa" w:w="60"/>
              <w:left w:type="dxa" w:w="90"/>
              <w:bottom w:type="dxa" w:w="60"/>
              <w:right w:type="dxa" w:w="90"/>
            </w:tcMar>
            <w:vAlign w:val="center"/>
          </w:tcPr>
          <w:p>
            <w:r>
              <w:rPr>
                <w:rFonts w:ascii="Calibri" w:cs="Calibri" w:eastAsia="Calibri" w:hAnsi="Calibri"/>
                <w:sz w:val="18"/>
                <w:szCs w:val="18"/>
              </w:rPr>
              <w:t xml:space="preserve">No</w:t>
            </w:r>
          </w:p>
        </w:tc>
        <w:tc>
          <w:tcPr>
            <w:tcW w:type="dxa" w:w="1900"/>
            <w:shd w:fill="F4F6F8" w:val="clear"/>
            <w:tcMar>
              <w:top w:type="dxa" w:w="60"/>
              <w:left w:type="dxa" w:w="90"/>
              <w:bottom w:type="dxa" w:w="60"/>
              <w:right w:type="dxa" w:w="90"/>
            </w:tcMar>
            <w:vAlign w:val="center"/>
          </w:tcPr>
          <w:p>
            <w:r>
              <w:rPr>
                <w:rFonts w:ascii="Calibri" w:cs="Calibri" w:eastAsia="Calibri" w:hAnsi="Calibri"/>
                <w:sz w:val="18"/>
                <w:szCs w:val="18"/>
              </w:rPr>
              <w:t xml:space="preserve">No</w:t>
            </w:r>
          </w:p>
        </w:tc>
        <w:tc>
          <w:tcPr>
            <w:tcW w:type="dxa" w:w="1900"/>
            <w:shd w:fill="F4F6F8" w:val="clear"/>
            <w:tcMar>
              <w:top w:type="dxa" w:w="60"/>
              <w:left w:type="dxa" w:w="90"/>
              <w:bottom w:type="dxa" w:w="60"/>
              <w:right w:type="dxa" w:w="90"/>
            </w:tcMar>
            <w:vAlign w:val="center"/>
          </w:tcPr>
          <w:p>
            <w:r>
              <w:rPr>
                <w:rFonts w:ascii="Calibri" w:cs="Calibri" w:eastAsia="Calibri" w:hAnsi="Calibri"/>
                <w:sz w:val="18"/>
                <w:szCs w:val="18"/>
              </w:rPr>
              <w:t xml:space="preserve">No</w:t>
            </w:r>
          </w:p>
        </w:tc>
        <w:tc>
          <w:tcPr>
            <w:tcW w:type="dxa" w:w="1970"/>
            <w:shd w:fill="F4F6F8" w:val="clear"/>
            <w:tcMar>
              <w:top w:type="dxa" w:w="60"/>
              <w:left w:type="dxa" w:w="90"/>
              <w:bottom w:type="dxa" w:w="60"/>
              <w:right w:type="dxa" w:w="90"/>
            </w:tcMar>
            <w:vAlign w:val="center"/>
          </w:tcPr>
          <w:p>
            <w:r>
              <w:rPr>
                <w:rFonts w:ascii="Calibri" w:cs="Calibri" w:eastAsia="Calibri" w:hAnsi="Calibri"/>
                <w:sz w:val="18"/>
                <w:szCs w:val="18"/>
              </w:rPr>
              <w:t xml:space="preserve">Yes, with a mandatory logged reason (Section 6)</w:t>
            </w:r>
          </w:p>
        </w:tc>
      </w:tr>
    </w:tbl>
    <w:p>
      <w:pPr>
        <w:spacing w:after="160"/>
      </w:pPr>
      <w:r>
        <w:rPr>
          <w:b/>
          <w:bCs/>
          <w:color w:val="C97C1C"/>
          <w:sz w:val="21"/>
          <w:szCs w:val="21"/>
        </w:rPr>
        <w:t xml:space="preserve">[DECISION] </w:t>
      </w:r>
      <w:r>
        <w:rPr>
          <w:sz w:val="21"/>
          <w:szCs w:val="21"/>
        </w:rPr>
        <w:t xml:space="preserve">can_review_assistant_logs follows the same pattern as Confessions’ can_unmask_anonymous_posts: a boolean flag on the shared public.profiles table, granted out-of-band in the database (never through an Admin UI toggle), with every use writing a distinctly-typed audit_logs entry that requires a stored reason. Reused deliberately rather than inventing a second mechanism for the same kind of sensitive, rarely-needed access.</w:t>
      </w:r>
    </w:p>
    <w:p>
      <w:pPr>
        <w:sectPr>
          <w:headerReference w:type="default" r:id="rId9"/>
          <w:footerReference w:type="default" r:id="rId10"/>
          <w:pgSz w:w="12240" w:h="15840" w:orient="portrait"/>
          <w:pgMar w:top="1080" w:right="1080" w:bottom="1080" w:left="1080" w:header="708" w:footer="708" w:gutter="0"/>
          <w:pgNumType/>
          <w:titlePg w:val="false"/>
          <w:docGrid w:linePitch="360"/>
        </w:sectPr>
      </w:pPr>
    </w:p>
    <w:p>
      <w:pPr>
        <w:pStyle w:val="Heading1"/>
      </w:pPr>
      <w:r>
        <w:t xml:space="preserve">3. Threat Model</w:t>
      </w:r>
    </w:p>
    <w:p>
      <w:pPr>
        <w:spacing w:after="120"/>
      </w:pPr>
      <w:r>
        <w:rPr>
          <w:b w:val="false"/>
          <w:bCs w:val="false"/>
          <w:i w:val="false"/>
          <w:iCs w:val="false"/>
          <w:color w:val="222831"/>
          <w:sz w:val="21"/>
          <w:szCs w:val="21"/>
        </w:rPr>
        <w:t xml:space="preserve">A different shape from any prior feature: the interesting risks are specific to LLM applications, not the classic web-app set.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60"/>
        <w:gridCol w:w="3960"/>
        <w:gridCol w:w="5560"/>
      </w:tblGrid>
      <w:tr>
        <w:trPr>
          <w:tblHeader/>
        </w:trPr>
        <w:tc>
          <w:tcPr>
            <w:tcW w:type="dxa" w:w="56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w:t>
            </w:r>
          </w:p>
        </w:tc>
        <w:tc>
          <w:tcPr>
            <w:tcW w:type="dxa" w:w="396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Threat</w:t>
            </w:r>
          </w:p>
        </w:tc>
        <w:tc>
          <w:tcPr>
            <w:tcW w:type="dxa" w:w="556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Mitigation</w:t>
            </w:r>
          </w:p>
        </w:tc>
      </w:tr>
      <w:tr>
        <w:tc>
          <w:tcPr>
            <w:tcW w:type="dxa" w:w="560"/>
            <w:tcMar>
              <w:top w:type="dxa" w:w="60"/>
              <w:left w:type="dxa" w:w="90"/>
              <w:bottom w:type="dxa" w:w="60"/>
              <w:right w:type="dxa" w:w="90"/>
            </w:tcMar>
            <w:vAlign w:val="center"/>
          </w:tcPr>
          <w:p>
            <w:r>
              <w:rPr>
                <w:rFonts w:ascii="Calibri" w:cs="Calibri" w:eastAsia="Calibri" w:hAnsi="Calibri"/>
                <w:sz w:val="18"/>
                <w:szCs w:val="18"/>
              </w:rPr>
              <w:t xml:space="preserve">T1</w:t>
            </w:r>
          </w:p>
        </w:tc>
        <w:tc>
          <w:tcPr>
            <w:tcW w:type="dxa" w:w="3960"/>
            <w:tcMar>
              <w:top w:type="dxa" w:w="60"/>
              <w:left w:type="dxa" w:w="90"/>
              <w:bottom w:type="dxa" w:w="60"/>
              <w:right w:type="dxa" w:w="90"/>
            </w:tcMar>
            <w:vAlign w:val="center"/>
          </w:tcPr>
          <w:p>
            <w:r>
              <w:rPr>
                <w:rFonts w:ascii="Calibri" w:cs="Calibri" w:eastAsia="Calibri" w:hAnsi="Calibri"/>
                <w:sz w:val="18"/>
                <w:szCs w:val="18"/>
              </w:rPr>
              <w:t xml:space="preserve">Prompt injection through retrieved content — a product description, job posting, or show note crafted to contain instructions ("ignore previous instructions and…") that the assistant then follows when it retrieves that record as context</w:t>
            </w:r>
          </w:p>
        </w:tc>
        <w:tc>
          <w:tcPr>
            <w:tcW w:type="dxa" w:w="5560"/>
            <w:tcMar>
              <w:top w:type="dxa" w:w="60"/>
              <w:left w:type="dxa" w:w="90"/>
              <w:bottom w:type="dxa" w:w="60"/>
              <w:right w:type="dxa" w:w="90"/>
            </w:tcMar>
            <w:vAlign w:val="center"/>
          </w:tcPr>
          <w:p>
            <w:r>
              <w:rPr>
                <w:rFonts w:ascii="Calibri" w:cs="Calibri" w:eastAsia="Calibri" w:hAnsi="Calibri"/>
                <w:sz w:val="18"/>
                <w:szCs w:val="18"/>
              </w:rPr>
              <w:t xml:space="preserve">Retrieved records are always framed to the model as untrusted reference data, never as instructions; the system prompt explicitly tells the model to ignore any instruction-like text inside retrieved content; the assistant has no write or action capability to abuse even if an injection partly succeeded (PRD §1)</w:t>
            </w:r>
          </w:p>
        </w:tc>
      </w:tr>
      <w:tr>
        <w:tc>
          <w:tcPr>
            <w:tcW w:type="dxa" w:w="560"/>
            <w:shd w:fill="F4F6F8" w:val="clear"/>
            <w:tcMar>
              <w:top w:type="dxa" w:w="60"/>
              <w:left w:type="dxa" w:w="90"/>
              <w:bottom w:type="dxa" w:w="60"/>
              <w:right w:type="dxa" w:w="90"/>
            </w:tcMar>
            <w:vAlign w:val="center"/>
          </w:tcPr>
          <w:p>
            <w:r>
              <w:rPr>
                <w:rFonts w:ascii="Calibri" w:cs="Calibri" w:eastAsia="Calibri" w:hAnsi="Calibri"/>
                <w:sz w:val="18"/>
                <w:szCs w:val="18"/>
              </w:rPr>
              <w:t xml:space="preserve">T2</w:t>
            </w:r>
          </w:p>
        </w:tc>
        <w:tc>
          <w:tcPr>
            <w:tcW w:type="dxa" w:w="3960"/>
            <w:shd w:fill="F4F6F8" w:val="clear"/>
            <w:tcMar>
              <w:top w:type="dxa" w:w="60"/>
              <w:left w:type="dxa" w:w="90"/>
              <w:bottom w:type="dxa" w:w="60"/>
              <w:right w:type="dxa" w:w="90"/>
            </w:tcMar>
            <w:vAlign w:val="center"/>
          </w:tcPr>
          <w:p>
            <w:r>
              <w:rPr>
                <w:rFonts w:ascii="Calibri" w:cs="Calibri" w:eastAsia="Calibri" w:hAnsi="Calibri"/>
                <w:sz w:val="18"/>
                <w:szCs w:val="18"/>
              </w:rPr>
              <w:t xml:space="preserve">The assistant surfaces data a student shouldn’t be able to see, because retrieval bypassed Row Level Security</w:t>
            </w:r>
          </w:p>
        </w:tc>
        <w:tc>
          <w:tcPr>
            <w:tcW w:type="dxa" w:w="5560"/>
            <w:shd w:fill="F4F6F8" w:val="clear"/>
            <w:tcMar>
              <w:top w:type="dxa" w:w="60"/>
              <w:left w:type="dxa" w:w="90"/>
              <w:bottom w:type="dxa" w:w="60"/>
              <w:right w:type="dxa" w:w="90"/>
            </w:tcMar>
            <w:vAlign w:val="center"/>
          </w:tcPr>
          <w:p>
            <w:r>
              <w:rPr>
                <w:rFonts w:ascii="Calibri" w:cs="Calibri" w:eastAsia="Calibri" w:hAnsi="Calibri"/>
                <w:sz w:val="18"/>
                <w:szCs w:val="18"/>
              </w:rPr>
              <w:t xml:space="preserve">Retrieval queries execute under the caller’s own authenticated context, never a service-role connection — the assistant can only ever return what that user could already query directly (PRD §2)</w:t>
            </w:r>
          </w:p>
        </w:tc>
      </w:tr>
      <w:tr>
        <w:tc>
          <w:tcPr>
            <w:tcW w:type="dxa" w:w="560"/>
            <w:tcMar>
              <w:top w:type="dxa" w:w="60"/>
              <w:left w:type="dxa" w:w="90"/>
              <w:bottom w:type="dxa" w:w="60"/>
              <w:right w:type="dxa" w:w="90"/>
            </w:tcMar>
            <w:vAlign w:val="center"/>
          </w:tcPr>
          <w:p>
            <w:r>
              <w:rPr>
                <w:rFonts w:ascii="Calibri" w:cs="Calibri" w:eastAsia="Calibri" w:hAnsi="Calibri"/>
                <w:sz w:val="18"/>
                <w:szCs w:val="18"/>
              </w:rPr>
              <w:t xml:space="preserve">T3</w:t>
            </w:r>
          </w:p>
        </w:tc>
        <w:tc>
          <w:tcPr>
            <w:tcW w:type="dxa" w:w="3960"/>
            <w:tcMar>
              <w:top w:type="dxa" w:w="60"/>
              <w:left w:type="dxa" w:w="90"/>
              <w:bottom w:type="dxa" w:w="60"/>
              <w:right w:type="dxa" w:w="90"/>
            </w:tcMar>
            <w:vAlign w:val="center"/>
          </w:tcPr>
          <w:p>
            <w:r>
              <w:rPr>
                <w:rFonts w:ascii="Calibri" w:cs="Calibri" w:eastAsia="Calibri" w:hAnsi="Calibri"/>
                <w:sz w:val="18"/>
                <w:szCs w:val="18"/>
              </w:rPr>
              <w:t xml:space="preserve">The assistant states a plausible-sounding but false fact about UPSA as if authoritative (a wrong deadline, a wrong contact number)</w:t>
            </w:r>
          </w:p>
        </w:tc>
        <w:tc>
          <w:tcPr>
            <w:tcW w:type="dxa" w:w="5560"/>
            <w:tcMar>
              <w:top w:type="dxa" w:w="60"/>
              <w:left w:type="dxa" w:w="90"/>
              <w:bottom w:type="dxa" w:w="60"/>
              <w:right w:type="dxa" w:w="90"/>
            </w:tcMar>
            <w:vAlign w:val="center"/>
          </w:tcPr>
          <w:p>
            <w:r>
              <w:rPr>
                <w:rFonts w:ascii="Calibri" w:cs="Calibri" w:eastAsia="Calibri" w:hAnsi="Calibri"/>
                <w:sz w:val="18"/>
                <w:szCs w:val="18"/>
              </w:rPr>
              <w:t xml:space="preserve">Answers to platform-content questions are grounded only in retrieved records; when retrieval returns nothing relevant, the response is a plain "I don’t have information about that," never a model-generated guess</w:t>
            </w:r>
          </w:p>
        </w:tc>
      </w:tr>
      <w:tr>
        <w:tc>
          <w:tcPr>
            <w:tcW w:type="dxa" w:w="560"/>
            <w:shd w:fill="F4F6F8" w:val="clear"/>
            <w:tcMar>
              <w:top w:type="dxa" w:w="60"/>
              <w:left w:type="dxa" w:w="90"/>
              <w:bottom w:type="dxa" w:w="60"/>
              <w:right w:type="dxa" w:w="90"/>
            </w:tcMar>
            <w:vAlign w:val="center"/>
          </w:tcPr>
          <w:p>
            <w:r>
              <w:rPr>
                <w:rFonts w:ascii="Calibri" w:cs="Calibri" w:eastAsia="Calibri" w:hAnsi="Calibri"/>
                <w:sz w:val="18"/>
                <w:szCs w:val="18"/>
              </w:rPr>
              <w:t xml:space="preserve">T4</w:t>
            </w:r>
          </w:p>
        </w:tc>
        <w:tc>
          <w:tcPr>
            <w:tcW w:type="dxa" w:w="3960"/>
            <w:shd w:fill="F4F6F8" w:val="clear"/>
            <w:tcMar>
              <w:top w:type="dxa" w:w="60"/>
              <w:left w:type="dxa" w:w="90"/>
              <w:bottom w:type="dxa" w:w="60"/>
              <w:right w:type="dxa" w:w="90"/>
            </w:tcMar>
            <w:vAlign w:val="center"/>
          </w:tcPr>
          <w:p>
            <w:r>
              <w:rPr>
                <w:rFonts w:ascii="Calibri" w:cs="Calibri" w:eastAsia="Calibri" w:hAnsi="Calibri"/>
                <w:sz w:val="18"/>
                <w:szCs w:val="18"/>
              </w:rPr>
              <w:t xml:space="preserve">A self-harm or crisis-adjacent message is mishandled or answered with improvised advice</w:t>
            </w:r>
          </w:p>
        </w:tc>
        <w:tc>
          <w:tcPr>
            <w:tcW w:type="dxa" w:w="5560"/>
            <w:shd w:fill="F4F6F8" w:val="clear"/>
            <w:tcMar>
              <w:top w:type="dxa" w:w="60"/>
              <w:left w:type="dxa" w:w="90"/>
              <w:bottom w:type="dxa" w:w="60"/>
              <w:right w:type="dxa" w:w="90"/>
            </w:tcMar>
            <w:vAlign w:val="center"/>
          </w:tcPr>
          <w:p>
            <w:r>
              <w:rPr>
                <w:rFonts w:ascii="Calibri" w:cs="Calibri" w:eastAsia="Calibri" w:hAnsi="Calibri"/>
                <w:sz w:val="18"/>
                <w:szCs w:val="18"/>
              </w:rPr>
              <w:t xml:space="preserve">A deterministic keyword/pattern check runs on every incoming message before the model is called; a match short-circuits the normal flow and returns the live-linked Counseling Service resource directly — the model is not asked to improvise a response to a crisis (PRD §6)</w:t>
            </w:r>
          </w:p>
        </w:tc>
      </w:tr>
      <w:tr>
        <w:tc>
          <w:tcPr>
            <w:tcW w:type="dxa" w:w="560"/>
            <w:tcMar>
              <w:top w:type="dxa" w:w="60"/>
              <w:left w:type="dxa" w:w="90"/>
              <w:bottom w:type="dxa" w:w="60"/>
              <w:right w:type="dxa" w:w="90"/>
            </w:tcMar>
            <w:vAlign w:val="center"/>
          </w:tcPr>
          <w:p>
            <w:r>
              <w:rPr>
                <w:rFonts w:ascii="Calibri" w:cs="Calibri" w:eastAsia="Calibri" w:hAnsi="Calibri"/>
                <w:sz w:val="18"/>
                <w:szCs w:val="18"/>
              </w:rPr>
              <w:t xml:space="preserve">T5</w:t>
            </w:r>
          </w:p>
        </w:tc>
        <w:tc>
          <w:tcPr>
            <w:tcW w:type="dxa" w:w="3960"/>
            <w:tcMar>
              <w:top w:type="dxa" w:w="60"/>
              <w:left w:type="dxa" w:w="90"/>
              <w:bottom w:type="dxa" w:w="60"/>
              <w:right w:type="dxa" w:w="90"/>
            </w:tcMar>
            <w:vAlign w:val="center"/>
          </w:tcPr>
          <w:p>
            <w:r>
              <w:rPr>
                <w:rFonts w:ascii="Calibri" w:cs="Calibri" w:eastAsia="Calibri" w:hAnsi="Calibri"/>
                <w:sz w:val="18"/>
                <w:szCs w:val="18"/>
              </w:rPr>
              <w:t xml:space="preserve">Query flooding or scripted abuse runs up model API cost</w:t>
            </w:r>
          </w:p>
        </w:tc>
        <w:tc>
          <w:tcPr>
            <w:tcW w:type="dxa" w:w="5560"/>
            <w:tcMar>
              <w:top w:type="dxa" w:w="60"/>
              <w:left w:type="dxa" w:w="90"/>
              <w:bottom w:type="dxa" w:w="60"/>
              <w:right w:type="dxa" w:w="90"/>
            </w:tcMar>
            <w:vAlign w:val="center"/>
          </w:tcPr>
          <w:p>
            <w:r>
              <w:rPr>
                <w:rFonts w:ascii="Calibri" w:cs="Calibri" w:eastAsia="Calibri" w:hAnsi="Calibri"/>
                <w:sz w:val="18"/>
                <w:szCs w:val="18"/>
              </w:rPr>
              <w:t xml:space="preserve">Arcjet per-user and per-IP rate limits; a global daily spend ceiling that disables the assistant gracefully ("temporarily unavailable") rather than silently overspending</w:t>
            </w:r>
          </w:p>
        </w:tc>
      </w:tr>
      <w:tr>
        <w:tc>
          <w:tcPr>
            <w:tcW w:type="dxa" w:w="560"/>
            <w:shd w:fill="F4F6F8" w:val="clear"/>
            <w:tcMar>
              <w:top w:type="dxa" w:w="60"/>
              <w:left w:type="dxa" w:w="90"/>
              <w:bottom w:type="dxa" w:w="60"/>
              <w:right w:type="dxa" w:w="90"/>
            </w:tcMar>
            <w:vAlign w:val="center"/>
          </w:tcPr>
          <w:p>
            <w:r>
              <w:rPr>
                <w:rFonts w:ascii="Calibri" w:cs="Calibri" w:eastAsia="Calibri" w:hAnsi="Calibri"/>
                <w:sz w:val="18"/>
                <w:szCs w:val="18"/>
              </w:rPr>
              <w:t xml:space="preserve">T6</w:t>
            </w:r>
          </w:p>
        </w:tc>
        <w:tc>
          <w:tcPr>
            <w:tcW w:type="dxa" w:w="3960"/>
            <w:shd w:fill="F4F6F8" w:val="clear"/>
            <w:tcMar>
              <w:top w:type="dxa" w:w="60"/>
              <w:left w:type="dxa" w:w="90"/>
              <w:bottom w:type="dxa" w:w="60"/>
              <w:right w:type="dxa" w:w="90"/>
            </w:tcMar>
            <w:vAlign w:val="center"/>
          </w:tcPr>
          <w:p>
            <w:r>
              <w:rPr>
                <w:rFonts w:ascii="Calibri" w:cs="Calibri" w:eastAsia="Calibri" w:hAnsi="Calibri"/>
                <w:sz w:val="18"/>
                <w:szCs w:val="18"/>
              </w:rPr>
              <w:t xml:space="preserve">The seller copy helper invents specifications, claims, or comparisons the seller never provided, misleading buyers</w:t>
            </w:r>
          </w:p>
        </w:tc>
        <w:tc>
          <w:tcPr>
            <w:tcW w:type="dxa" w:w="5560"/>
            <w:shd w:fill="F4F6F8" w:val="clear"/>
            <w:tcMar>
              <w:top w:type="dxa" w:w="60"/>
              <w:left w:type="dxa" w:w="90"/>
              <w:bottom w:type="dxa" w:w="60"/>
              <w:right w:type="dxa" w:w="90"/>
            </w:tcMar>
            <w:vAlign w:val="center"/>
          </w:tcPr>
          <w:p>
            <w:r>
              <w:rPr>
                <w:rFonts w:ascii="Calibri" w:cs="Calibri" w:eastAsia="Calibri" w:hAnsi="Calibri"/>
                <w:sz w:val="18"/>
                <w:szCs w:val="18"/>
              </w:rPr>
              <w:t xml:space="preserve">The helper’s prompt is constrained to the seller’s structured input fields only, and instructed never to add facts; output is shown to the seller for review and edit before it is saved, never auto-published (PRD §5.2)</w:t>
            </w:r>
          </w:p>
        </w:tc>
      </w:tr>
      <w:tr>
        <w:tc>
          <w:tcPr>
            <w:tcW w:type="dxa" w:w="560"/>
            <w:tcMar>
              <w:top w:type="dxa" w:w="60"/>
              <w:left w:type="dxa" w:w="90"/>
              <w:bottom w:type="dxa" w:w="60"/>
              <w:right w:type="dxa" w:w="90"/>
            </w:tcMar>
            <w:vAlign w:val="center"/>
          </w:tcPr>
          <w:p>
            <w:r>
              <w:rPr>
                <w:rFonts w:ascii="Calibri" w:cs="Calibri" w:eastAsia="Calibri" w:hAnsi="Calibri"/>
                <w:sz w:val="18"/>
                <w:szCs w:val="18"/>
              </w:rPr>
              <w:t xml:space="preserve">T7</w:t>
            </w:r>
          </w:p>
        </w:tc>
        <w:tc>
          <w:tcPr>
            <w:tcW w:type="dxa" w:w="3960"/>
            <w:tcMar>
              <w:top w:type="dxa" w:w="60"/>
              <w:left w:type="dxa" w:w="90"/>
              <w:bottom w:type="dxa" w:w="60"/>
              <w:right w:type="dxa" w:w="90"/>
            </w:tcMar>
            <w:vAlign w:val="center"/>
          </w:tcPr>
          <w:p>
            <w:r>
              <w:rPr>
                <w:rFonts w:ascii="Calibri" w:cs="Calibri" w:eastAsia="Calibri" w:hAnsi="Calibri"/>
                <w:sz w:val="18"/>
                <w:szCs w:val="18"/>
              </w:rPr>
              <w:t xml:space="preserve">Someone tries to use the assistant to search or compile Anonymous Confessions/Opinions posts, or otherwise defeat that feature’s anonymity design</w:t>
            </w:r>
          </w:p>
        </w:tc>
        <w:tc>
          <w:tcPr>
            <w:tcW w:type="dxa" w:w="5560"/>
            <w:tcMar>
              <w:top w:type="dxa" w:w="60"/>
              <w:left w:type="dxa" w:w="90"/>
              <w:bottom w:type="dxa" w:w="60"/>
              <w:right w:type="dxa" w:w="90"/>
            </w:tcMar>
            <w:vAlign w:val="center"/>
          </w:tcPr>
          <w:p>
            <w:r>
              <w:rPr>
                <w:rFonts w:ascii="Calibri" w:cs="Calibri" w:eastAsia="Calibri" w:hAnsi="Calibri"/>
                <w:sz w:val="18"/>
                <w:szCs w:val="18"/>
              </w:rPr>
              <w:t xml:space="preserve">Confessions content is not in the retrieval index at all (PRD §2) — there is nothing for such a query to find, not merely a filter that could be bypassed</w:t>
            </w:r>
          </w:p>
        </w:tc>
      </w:tr>
      <w:tr>
        <w:tc>
          <w:tcPr>
            <w:tcW w:type="dxa" w:w="560"/>
            <w:shd w:fill="F4F6F8" w:val="clear"/>
            <w:tcMar>
              <w:top w:type="dxa" w:w="60"/>
              <w:left w:type="dxa" w:w="90"/>
              <w:bottom w:type="dxa" w:w="60"/>
              <w:right w:type="dxa" w:w="90"/>
            </w:tcMar>
            <w:vAlign w:val="center"/>
          </w:tcPr>
          <w:p>
            <w:r>
              <w:rPr>
                <w:rFonts w:ascii="Calibri" w:cs="Calibri" w:eastAsia="Calibri" w:hAnsi="Calibri"/>
                <w:sz w:val="18"/>
                <w:szCs w:val="18"/>
              </w:rPr>
              <w:t xml:space="preserve">T8</w:t>
            </w:r>
          </w:p>
        </w:tc>
        <w:tc>
          <w:tcPr>
            <w:tcW w:type="dxa" w:w="3960"/>
            <w:shd w:fill="F4F6F8" w:val="clear"/>
            <w:tcMar>
              <w:top w:type="dxa" w:w="60"/>
              <w:left w:type="dxa" w:w="90"/>
              <w:bottom w:type="dxa" w:w="60"/>
              <w:right w:type="dxa" w:w="90"/>
            </w:tcMar>
            <w:vAlign w:val="center"/>
          </w:tcPr>
          <w:p>
            <w:r>
              <w:rPr>
                <w:rFonts w:ascii="Calibri" w:cs="Calibri" w:eastAsia="Calibri" w:hAnsi="Calibri"/>
                <w:sz w:val="18"/>
                <w:szCs w:val="18"/>
              </w:rPr>
              <w:t xml:space="preserve">Attempts to extract the assistant’s system prompt or internal configuration</w:t>
            </w:r>
          </w:p>
        </w:tc>
        <w:tc>
          <w:tcPr>
            <w:tcW w:type="dxa" w:w="5560"/>
            <w:shd w:fill="F4F6F8" w:val="clear"/>
            <w:tcMar>
              <w:top w:type="dxa" w:w="60"/>
              <w:left w:type="dxa" w:w="90"/>
              <w:bottom w:type="dxa" w:w="60"/>
              <w:right w:type="dxa" w:w="90"/>
            </w:tcMar>
            <w:vAlign w:val="center"/>
          </w:tcPr>
          <w:p>
            <w:r>
              <w:rPr>
                <w:rFonts w:ascii="Calibri" w:cs="Calibri" w:eastAsia="Calibri" w:hAnsi="Calibri"/>
                <w:sz w:val="18"/>
                <w:szCs w:val="18"/>
              </w:rPr>
              <w:t xml:space="preserve">Treated honestly: prompt secrecy is not a reliable security boundary, so no credential, key, or sensitive rule is ever placed in the prompt — anything that must stay secret stays server-side, outside what the model can see</w:t>
            </w:r>
          </w:p>
        </w:tc>
      </w:tr>
      <w:tr>
        <w:tc>
          <w:tcPr>
            <w:tcW w:type="dxa" w:w="560"/>
            <w:tcMar>
              <w:top w:type="dxa" w:w="60"/>
              <w:left w:type="dxa" w:w="90"/>
              <w:bottom w:type="dxa" w:w="60"/>
              <w:right w:type="dxa" w:w="90"/>
            </w:tcMar>
            <w:vAlign w:val="center"/>
          </w:tcPr>
          <w:p>
            <w:r>
              <w:rPr>
                <w:rFonts w:ascii="Calibri" w:cs="Calibri" w:eastAsia="Calibri" w:hAnsi="Calibri"/>
                <w:sz w:val="18"/>
                <w:szCs w:val="18"/>
              </w:rPr>
              <w:t xml:space="preserve">T9</w:t>
            </w:r>
          </w:p>
        </w:tc>
        <w:tc>
          <w:tcPr>
            <w:tcW w:type="dxa" w:w="3960"/>
            <w:tcMar>
              <w:top w:type="dxa" w:w="60"/>
              <w:left w:type="dxa" w:w="90"/>
              <w:bottom w:type="dxa" w:w="60"/>
              <w:right w:type="dxa" w:w="90"/>
            </w:tcMar>
            <w:vAlign w:val="center"/>
          </w:tcPr>
          <w:p>
            <w:r>
              <w:rPr>
                <w:rFonts w:ascii="Calibri" w:cs="Calibri" w:eastAsia="Calibri" w:hAnsi="Calibri"/>
                <w:sz w:val="18"/>
                <w:szCs w:val="18"/>
              </w:rPr>
              <w:t xml:space="preserve">Stored query logs become a new sensitive dataset (students asking personal questions, tied to their identity)</w:t>
            </w:r>
          </w:p>
        </w:tc>
        <w:tc>
          <w:tcPr>
            <w:tcW w:type="dxa" w:w="5560"/>
            <w:tcMar>
              <w:top w:type="dxa" w:w="60"/>
              <w:left w:type="dxa" w:w="90"/>
              <w:bottom w:type="dxa" w:w="60"/>
              <w:right w:type="dxa" w:w="90"/>
            </w:tcMar>
            <w:vAlign w:val="center"/>
          </w:tcPr>
          <w:p>
            <w:r>
              <w:rPr>
                <w:rFonts w:ascii="Calibri" w:cs="Calibri" w:eastAsia="Calibri" w:hAnsi="Calibri"/>
                <w:sz w:val="18"/>
                <w:szCs w:val="18"/>
              </w:rPr>
              <w:t xml:space="preserve">Short fixed retention window and access restricted to the audited log-reviewer path (Section 6) — minimizing what exists and who can reach it, rather than relying on policy alone</w:t>
            </w:r>
          </w:p>
        </w:tc>
      </w:tr>
    </w:tbl>
    <w:p>
      <w:pPr>
        <w:sectPr>
          <w:headerReference w:type="default" r:id="rId11"/>
          <w:footerReference w:type="default" r:id="rId12"/>
          <w:pgSz w:w="12240" w:h="15840" w:orient="portrait"/>
          <w:pgMar w:top="1080" w:right="1080" w:bottom="1080" w:left="1080" w:header="708" w:footer="708" w:gutter="0"/>
          <w:pgNumType/>
          <w:titlePg w:val="false"/>
          <w:docGrid w:linePitch="360"/>
        </w:sectPr>
      </w:pPr>
    </w:p>
    <w:p>
      <w:pPr>
        <w:pStyle w:val="Heading1"/>
      </w:pPr>
      <w:r>
        <w:t xml:space="preserve">4. API Surface (Phase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80"/>
      </w:tblGrid>
      <w:tr>
        <w:trPr>
          <w:tblHeader/>
        </w:trPr>
        <w:tc>
          <w:tcPr>
            <w:tcW w:type="dxa" w:w="26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Action</w:t>
            </w:r>
          </w:p>
        </w:tc>
        <w:tc>
          <w:tcPr>
            <w:tcW w:type="dxa" w:w="380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Input</w:t>
            </w:r>
          </w:p>
        </w:tc>
        <w:tc>
          <w:tcPr>
            <w:tcW w:type="dxa" w:w="3680"/>
            <w:shd w:fill="1B2A4A" w:val="clear"/>
            <w:tcMar>
              <w:top w:type="dxa" w:w="60"/>
              <w:left w:type="dxa" w:w="90"/>
              <w:bottom w:type="dxa" w:w="60"/>
              <w:right w:type="dxa" w:w="90"/>
            </w:tcMar>
            <w:vAlign w:val="center"/>
          </w:tcPr>
          <w:p>
            <w:r>
              <w:rPr>
                <w:rFonts w:ascii="Calibri" w:cs="Calibri" w:eastAsia="Calibri" w:hAnsi="Calibri"/>
                <w:b/>
                <w:bCs/>
                <w:color w:val="FFFFFF"/>
                <w:sz w:val="18"/>
                <w:szCs w:val="18"/>
              </w:rPr>
              <w:t xml:space="preserve">Notes</w:t>
            </w:r>
          </w:p>
        </w:tc>
      </w:tr>
      <w:tr>
        <w:tc>
          <w:tcPr>
            <w:tcW w:type="dxa" w:w="2600"/>
            <w:tcMar>
              <w:top w:type="dxa" w:w="60"/>
              <w:left w:type="dxa" w:w="90"/>
              <w:bottom w:type="dxa" w:w="60"/>
              <w:right w:type="dxa" w:w="90"/>
            </w:tcMar>
            <w:vAlign w:val="center"/>
          </w:tcPr>
          <w:p>
            <w:r>
              <w:rPr>
                <w:rFonts w:ascii="Calibri" w:cs="Calibri" w:eastAsia="Calibri" w:hAnsi="Calibri"/>
                <w:sz w:val="18"/>
                <w:szCs w:val="18"/>
              </w:rPr>
              <w:t xml:space="preserve">askAssistant</w:t>
            </w:r>
          </w:p>
        </w:tc>
        <w:tc>
          <w:tcPr>
            <w:tcW w:type="dxa" w:w="3800"/>
            <w:tcMar>
              <w:top w:type="dxa" w:w="60"/>
              <w:left w:type="dxa" w:w="90"/>
              <w:bottom w:type="dxa" w:w="60"/>
              <w:right w:type="dxa" w:w="90"/>
            </w:tcMar>
            <w:vAlign w:val="center"/>
          </w:tcPr>
          <w:p>
            <w:r>
              <w:rPr>
                <w:rFonts w:ascii="Calibri" w:cs="Calibri" w:eastAsia="Calibri" w:hAnsi="Calibri"/>
                <w:sz w:val="18"/>
                <w:szCs w:val="18"/>
              </w:rPr>
              <w:t xml:space="preserve">message, session context (recent turns, current session only)</w:t>
            </w:r>
          </w:p>
        </w:tc>
        <w:tc>
          <w:tcPr>
            <w:tcW w:type="dxa" w:w="3680"/>
            <w:tcMar>
              <w:top w:type="dxa" w:w="60"/>
              <w:left w:type="dxa" w:w="90"/>
              <w:bottom w:type="dxa" w:w="60"/>
              <w:right w:type="dxa" w:w="90"/>
            </w:tcMar>
            <w:vAlign w:val="center"/>
          </w:tcPr>
          <w:p>
            <w:r>
              <w:rPr>
                <w:rFonts w:ascii="Calibri" w:cs="Calibri" w:eastAsia="Calibri" w:hAnsi="Calibri"/>
                <w:sz w:val="18"/>
                <w:szCs w:val="18"/>
              </w:rPr>
              <w:t xml:space="preserve">Runs the crisis check first (T4), then retrieval, then generation; rate-limited (T5)</w:t>
            </w:r>
          </w:p>
        </w:tc>
      </w:tr>
      <w:tr>
        <w:tc>
          <w:tcPr>
            <w:tcW w:type="dxa" w:w="2600"/>
            <w:shd w:fill="F4F6F8" w:val="clear"/>
            <w:tcMar>
              <w:top w:type="dxa" w:w="60"/>
              <w:left w:type="dxa" w:w="90"/>
              <w:bottom w:type="dxa" w:w="60"/>
              <w:right w:type="dxa" w:w="90"/>
            </w:tcMar>
            <w:vAlign w:val="center"/>
          </w:tcPr>
          <w:p>
            <w:r>
              <w:rPr>
                <w:rFonts w:ascii="Calibri" w:cs="Calibri" w:eastAsia="Calibri" w:hAnsi="Calibri"/>
                <w:sz w:val="18"/>
                <w:szCs w:val="18"/>
              </w:rPr>
              <w:t xml:space="preserve">generateSellerCopy</w:t>
            </w:r>
          </w:p>
        </w:tc>
        <w:tc>
          <w:tcPr>
            <w:tcW w:type="dxa" w:w="3800"/>
            <w:shd w:fill="F4F6F8" w:val="clear"/>
            <w:tcMar>
              <w:top w:type="dxa" w:w="60"/>
              <w:left w:type="dxa" w:w="90"/>
              <w:bottom w:type="dxa" w:w="60"/>
              <w:right w:type="dxa" w:w="90"/>
            </w:tcMar>
            <w:vAlign w:val="center"/>
          </w:tcPr>
          <w:p>
            <w:r>
              <w:rPr>
                <w:rFonts w:ascii="Calibri" w:cs="Calibri" w:eastAsia="Calibri" w:hAnsi="Calibri"/>
                <w:sz w:val="18"/>
                <w:szCs w:val="18"/>
              </w:rPr>
              <w:t xml:space="preserve">structured product facts (name, condition, features, price)</w:t>
            </w:r>
          </w:p>
        </w:tc>
        <w:tc>
          <w:tcPr>
            <w:tcW w:type="dxa" w:w="3680"/>
            <w:shd w:fill="F4F6F8" w:val="clear"/>
            <w:tcMar>
              <w:top w:type="dxa" w:w="60"/>
              <w:left w:type="dxa" w:w="90"/>
              <w:bottom w:type="dxa" w:w="60"/>
              <w:right w:type="dxa" w:w="90"/>
            </w:tcMar>
            <w:vAlign w:val="center"/>
          </w:tcPr>
          <w:p>
            <w:r>
              <w:rPr>
                <w:rFonts w:ascii="Calibri" w:cs="Calibri" w:eastAsia="Calibri" w:hAnsi="Calibri"/>
                <w:sz w:val="18"/>
                <w:szCs w:val="18"/>
              </w:rPr>
              <w:t xml:space="preserve">Verified sellers only; returns a draft for the seller to review, never auto-saves (T6)</w:t>
            </w:r>
          </w:p>
        </w:tc>
      </w:tr>
      <w:tr>
        <w:tc>
          <w:tcPr>
            <w:tcW w:type="dxa" w:w="2600"/>
            <w:tcMar>
              <w:top w:type="dxa" w:w="60"/>
              <w:left w:type="dxa" w:w="90"/>
              <w:bottom w:type="dxa" w:w="60"/>
              <w:right w:type="dxa" w:w="90"/>
            </w:tcMar>
            <w:vAlign w:val="center"/>
          </w:tcPr>
          <w:p>
            <w:r>
              <w:rPr>
                <w:rFonts w:ascii="Calibri" w:cs="Calibri" w:eastAsia="Calibri" w:hAnsi="Calibri"/>
                <w:sz w:val="18"/>
                <w:szCs w:val="18"/>
              </w:rPr>
              <w:t xml:space="preserve">reindexContent (internal)</w:t>
            </w:r>
          </w:p>
        </w:tc>
        <w:tc>
          <w:tcPr>
            <w:tcW w:type="dxa" w:w="3800"/>
            <w:tcMar>
              <w:top w:type="dxa" w:w="60"/>
              <w:left w:type="dxa" w:w="90"/>
              <w:bottom w:type="dxa" w:w="60"/>
              <w:right w:type="dxa" w:w="90"/>
            </w:tcMar>
            <w:vAlign w:val="center"/>
          </w:tcPr>
          <w:p>
            <w:r>
              <w:rPr>
                <w:rFonts w:ascii="Calibri" w:cs="Calibri" w:eastAsia="Calibri" w:hAnsi="Calibri"/>
                <w:sz w:val="18"/>
                <w:szCs w:val="18"/>
              </w:rPr>
              <w:t xml:space="preserve">source_type, source_id</w:t>
            </w:r>
          </w:p>
        </w:tc>
        <w:tc>
          <w:tcPr>
            <w:tcW w:type="dxa" w:w="3680"/>
            <w:tcMar>
              <w:top w:type="dxa" w:w="60"/>
              <w:left w:type="dxa" w:w="90"/>
              <w:bottom w:type="dxa" w:w="60"/>
              <w:right w:type="dxa" w:w="90"/>
            </w:tcMar>
            <w:vAlign w:val="center"/>
          </w:tcPr>
          <w:p>
            <w:r>
              <w:rPr>
                <w:rFonts w:ascii="Calibri" w:cs="Calibri" w:eastAsia="Calibri" w:hAnsi="Calibri"/>
                <w:sz w:val="18"/>
                <w:szCs w:val="18"/>
              </w:rPr>
              <w:t xml:space="preserve">Called by each in-scope feature when its content is published or changed; refreshes that item’s row in the shared index</w:t>
            </w:r>
          </w:p>
        </w:tc>
      </w:tr>
      <w:tr>
        <w:tc>
          <w:tcPr>
            <w:tcW w:type="dxa" w:w="2600"/>
            <w:shd w:fill="F4F6F8" w:val="clear"/>
            <w:tcMar>
              <w:top w:type="dxa" w:w="60"/>
              <w:left w:type="dxa" w:w="90"/>
              <w:bottom w:type="dxa" w:w="60"/>
              <w:right w:type="dxa" w:w="90"/>
            </w:tcMar>
            <w:vAlign w:val="center"/>
          </w:tcPr>
          <w:p>
            <w:r>
              <w:rPr>
                <w:rFonts w:ascii="Calibri" w:cs="Calibri" w:eastAsia="Calibri" w:hAnsi="Calibri"/>
                <w:sz w:val="18"/>
                <w:szCs w:val="18"/>
              </w:rPr>
              <w:t xml:space="preserve">reviewAssistantLogs (log reviewer only)</w:t>
            </w:r>
          </w:p>
        </w:tc>
        <w:tc>
          <w:tcPr>
            <w:tcW w:type="dxa" w:w="3800"/>
            <w:shd w:fill="F4F6F8" w:val="clear"/>
            <w:tcMar>
              <w:top w:type="dxa" w:w="60"/>
              <w:left w:type="dxa" w:w="90"/>
              <w:bottom w:type="dxa" w:w="60"/>
              <w:right w:type="dxa" w:w="90"/>
            </w:tcMar>
            <w:vAlign w:val="center"/>
          </w:tcPr>
          <w:p>
            <w:r>
              <w:rPr>
                <w:rFonts w:ascii="Calibri" w:cs="Calibri" w:eastAsia="Calibri" w:hAnsi="Calibri"/>
                <w:sz w:val="18"/>
                <w:szCs w:val="18"/>
              </w:rPr>
              <w:t xml:space="preserve">filters, mandatory reason</w:t>
            </w:r>
          </w:p>
        </w:tc>
        <w:tc>
          <w:tcPr>
            <w:tcW w:type="dxa" w:w="3680"/>
            <w:shd w:fill="F4F6F8" w:val="clear"/>
            <w:tcMar>
              <w:top w:type="dxa" w:w="60"/>
              <w:left w:type="dxa" w:w="90"/>
              <w:bottom w:type="dxa" w:w="60"/>
              <w:right w:type="dxa" w:w="90"/>
            </w:tcMar>
            <w:vAlign w:val="center"/>
          </w:tcPr>
          <w:p>
            <w:r>
              <w:rPr>
                <w:rFonts w:ascii="Calibri" w:cs="Calibri" w:eastAsia="Calibri" w:hAnsi="Calibri"/>
                <w:sz w:val="18"/>
                <w:szCs w:val="18"/>
              </w:rPr>
              <w:t xml:space="preserve">Refused without a reason; writes a distinct audit_logs entry (Section 6)</w:t>
            </w:r>
          </w:p>
        </w:tc>
      </w:tr>
    </w:tbl>
    <w:p>
      <w:pPr>
        <w:pStyle w:val="Heading1"/>
      </w:pPr>
      <w:r>
        <w:t xml:space="preserve">5. Data Integrity</w:t>
      </w:r>
    </w:p>
    <w:p>
      <w:pPr>
        <w:pStyle w:val="Heading3"/>
      </w:pPr>
      <w:r>
        <w:t xml:space="preserve">5.1 One unified retrieval index</w:t>
      </w:r>
    </w:p>
    <w:p>
      <w:pPr>
        <w:shd w:fill="F4F6F8" w:val="clear"/>
        <w:spacing w:after="0" w:before="80"/>
      </w:pPr>
      <w:r>
        <w:rPr>
          <w:rFonts w:ascii="Consolas" w:cs="Consolas" w:eastAsia="Consolas" w:hAnsi="Consolas"/>
          <w:sz w:val="18"/>
          <w:szCs w:val="18"/>
        </w:rPr>
        <w:t xml:space="preserve">assistant.content_index:</w:t>
      </w:r>
    </w:p>
    <w:p>
      <w:pPr>
        <w:shd w:fill="F4F6F8" w:val="clear"/>
        <w:spacing w:after="0" w:before="0"/>
      </w:pPr>
      <w:r>
        <w:rPr>
          <w:rFonts w:ascii="Consolas" w:cs="Consolas" w:eastAsia="Consolas" w:hAnsi="Consolas"/>
          <w:sz w:val="18"/>
          <w:szCs w:val="18"/>
        </w:rPr>
        <w:t xml:space="preserve">  source_type: product | service | posting | poll |</w:t>
      </w:r>
    </w:p>
    <w:p>
      <w:pPr>
        <w:shd w:fill="F4F6F8" w:val="clear"/>
        <w:spacing w:after="0" w:before="0"/>
      </w:pPr>
      <w:r>
        <w:rPr>
          <w:rFonts w:ascii="Consolas" w:cs="Consolas" w:eastAsia="Consolas" w:hAnsi="Consolas"/>
          <w:sz w:val="18"/>
          <w:szCs w:val="18"/>
        </w:rPr>
        <w:t xml:space="preserve">               podcast_episode | video | map_pin</w:t>
      </w:r>
    </w:p>
    <w:p>
      <w:pPr>
        <w:shd w:fill="F4F6F8" w:val="clear"/>
        <w:spacing w:after="0" w:before="0"/>
      </w:pPr>
      <w:r>
        <w:rPr>
          <w:rFonts w:ascii="Consolas" w:cs="Consolas" w:eastAsia="Consolas" w:hAnsi="Consolas"/>
          <w:sz w:val="18"/>
          <w:szCs w:val="18"/>
        </w:rPr>
        <w:t xml:space="preserve">  source_id, indexed_text, embedding vector, updated_at</w:t>
      </w:r>
    </w:p>
    <w:p>
      <w:pPr>
        <w:shd w:fill="F4F6F8" w:val="clear"/>
        <w:spacing w:after="0" w:before="0"/>
      </w:pPr>
      <w:r>
        <w:rPr>
          <w:rFonts w:ascii="Consolas" w:cs="Consolas" w:eastAsia="Consolas" w:hAnsi="Consolas"/>
          <w:sz w:val="18"/>
          <w:szCs w:val="18"/>
        </w:rPr>
        <w:t xml:space="preserve"> </w:t>
      </w:r>
    </w:p>
    <w:p>
      <w:pPr>
        <w:shd w:fill="F4F6F8" w:val="clear"/>
        <w:spacing w:after="0" w:before="0"/>
      </w:pPr>
      <w:r>
        <w:rPr>
          <w:rFonts w:ascii="Consolas" w:cs="Consolas" w:eastAsia="Consolas" w:hAnsi="Consolas"/>
          <w:sz w:val="18"/>
          <w:szCs w:val="18"/>
        </w:rPr>
        <w:t xml:space="preserve">NOT indexed, by design:  confessions posts (PRD §2), anything private</w:t>
      </w:r>
    </w:p>
    <w:p>
      <w:pPr>
        <w:shd w:fill="F4F6F8" w:val="clear"/>
        <w:spacing w:after="0" w:before="0"/>
      </w:pPr>
      <w:r>
        <w:rPr>
          <w:rFonts w:ascii="Consolas" w:cs="Consolas" w:eastAsia="Consolas" w:hAnsi="Consolas"/>
          <w:sz w:val="18"/>
          <w:szCs w:val="18"/>
        </w:rPr>
        <w:t xml:space="preserve">refreshed by reindexContent() on publish/update, not a nightly rebuild</w:t>
      </w:r>
    </w:p>
    <w:p>
      <w:pPr>
        <w:shd w:fill="F4F6F8" w:val="clear"/>
        <w:spacing w:after="200" w:before="0"/>
      </w:pPr>
      <w:r>
        <w:rPr>
          <w:rFonts w:ascii="Consolas" w:cs="Consolas" w:eastAsia="Consolas" w:hAnsi="Consolas"/>
          <w:sz w:val="18"/>
          <w:szCs w:val="18"/>
        </w:rPr>
        <w:t xml:space="preserve">only rows for currently-public content exist — unpublishing removes the row</w:t>
      </w:r>
    </w:p>
    <w:p>
      <w:pPr>
        <w:pStyle w:val="Heading3"/>
      </w:pPr>
      <w:r>
        <w:t xml:space="preserve">5.2 Session-scoped context only</w:t>
      </w:r>
    </w:p>
    <w:p>
      <w:pPr>
        <w:spacing w:after="120"/>
      </w:pPr>
      <w:r>
        <w:rPr>
          <w:b w:val="false"/>
          <w:bCs w:val="false"/>
          <w:i w:val="false"/>
          <w:iCs w:val="false"/>
          <w:color w:val="222831"/>
          <w:sz w:val="21"/>
          <w:szCs w:val="21"/>
        </w:rPr>
        <w:t xml:space="preserve">Conversation context is held for the current session and discarded when it ends — no persistent per-student chat history in Phase 1 (PRD §7). This avoids creating a durable store of what individual students asked, on top of the query-log retention already covered in Section 6.</w:t>
      </w:r>
    </w:p>
    <w:p>
      <w:pPr>
        <w:pStyle w:val="Heading3"/>
      </w:pPr>
      <w:r>
        <w:t xml:space="preserve">5.3 Retrieval flow</w:t>
      </w:r>
    </w:p>
    <w:p>
      <w:pPr>
        <w:shd w:fill="F4F6F8" w:val="clear"/>
        <w:spacing w:after="0" w:before="80"/>
      </w:pPr>
      <w:r>
        <w:rPr>
          <w:rFonts w:ascii="Consolas" w:cs="Consolas" w:eastAsia="Consolas" w:hAnsi="Consolas"/>
          <w:sz w:val="18"/>
          <w:szCs w:val="18"/>
        </w:rPr>
        <w:t xml:space="preserve">askAssistant(message):</w:t>
      </w:r>
    </w:p>
    <w:p>
      <w:pPr>
        <w:shd w:fill="F4F6F8" w:val="clear"/>
        <w:spacing w:after="0" w:before="0"/>
      </w:pPr>
      <w:r>
        <w:rPr>
          <w:rFonts w:ascii="Consolas" w:cs="Consolas" w:eastAsia="Consolas" w:hAnsi="Consolas"/>
          <w:sz w:val="18"/>
          <w:szCs w:val="18"/>
        </w:rPr>
        <w:t xml:space="preserve">  1. crisis pattern check         -&gt; match: return counseling resource, stop</w:t>
      </w:r>
    </w:p>
    <w:p>
      <w:pPr>
        <w:shd w:fill="F4F6F8" w:val="clear"/>
        <w:spacing w:after="0" w:before="0"/>
      </w:pPr>
      <w:r>
        <w:rPr>
          <w:rFonts w:ascii="Consolas" w:cs="Consolas" w:eastAsia="Consolas" w:hAnsi="Consolas"/>
          <w:sz w:val="18"/>
          <w:szCs w:val="18"/>
        </w:rPr>
        <w:t xml:space="preserve">  2. embed the message</w:t>
      </w:r>
    </w:p>
    <w:p>
      <w:pPr>
        <w:shd w:fill="F4F6F8" w:val="clear"/>
        <w:spacing w:after="0" w:before="0"/>
      </w:pPr>
      <w:r>
        <w:rPr>
          <w:rFonts w:ascii="Consolas" w:cs="Consolas" w:eastAsia="Consolas" w:hAnsi="Consolas"/>
          <w:sz w:val="18"/>
          <w:szCs w:val="18"/>
        </w:rPr>
        <w:t xml:space="preserve">  3. pgvector search over content_index, run as the caller (RLS applies)</w:t>
      </w:r>
    </w:p>
    <w:p>
      <w:pPr>
        <w:shd w:fill="F4F6F8" w:val="clear"/>
        <w:spacing w:after="0" w:before="0"/>
      </w:pPr>
      <w:r>
        <w:rPr>
          <w:rFonts w:ascii="Consolas" w:cs="Consolas" w:eastAsia="Consolas" w:hAnsi="Consolas"/>
          <w:sz w:val="18"/>
          <w:szCs w:val="18"/>
        </w:rPr>
        <w:t xml:space="preserve">  4. build prompt: instructions + retrieved records marked as untrusted data</w:t>
      </w:r>
    </w:p>
    <w:p>
      <w:pPr>
        <w:shd w:fill="F4F6F8" w:val="clear"/>
        <w:spacing w:after="0" w:before="0"/>
      </w:pPr>
      <w:r>
        <w:rPr>
          <w:rFonts w:ascii="Consolas" w:cs="Consolas" w:eastAsia="Consolas" w:hAnsi="Consolas"/>
          <w:sz w:val="18"/>
          <w:szCs w:val="18"/>
        </w:rPr>
        <w:t xml:space="preserve">  5. call Gemini 1.5 Flash (Groq Llama 3 70B if unavailable)</w:t>
      </w:r>
    </w:p>
    <w:p>
      <w:pPr>
        <w:shd w:fill="F4F6F8" w:val="clear"/>
        <w:spacing w:after="0" w:before="0"/>
      </w:pPr>
      <w:r>
        <w:rPr>
          <w:rFonts w:ascii="Consolas" w:cs="Consolas" w:eastAsia="Consolas" w:hAnsi="Consolas"/>
          <w:sz w:val="18"/>
          <w:szCs w:val="18"/>
        </w:rPr>
        <w:t xml:space="preserve">  6. return answer + links to the source records used</w:t>
      </w:r>
    </w:p>
    <w:p>
      <w:pPr>
        <w:shd w:fill="F4F6F8" w:val="clear"/>
        <w:spacing w:after="200" w:before="0"/>
      </w:pPr>
      <w:r>
        <w:rPr>
          <w:rFonts w:ascii="Consolas" w:cs="Consolas" w:eastAsia="Consolas" w:hAnsi="Consolas"/>
          <w:sz w:val="18"/>
          <w:szCs w:val="18"/>
        </w:rPr>
        <w:t xml:space="preserve">     no relevant records found -&gt; "I don’t have information about that"</w:t>
      </w:r>
    </w:p>
    <w:p>
      <w:pPr>
        <w:pStyle w:val="Heading1"/>
      </w:pPr>
      <w:r>
        <w:t xml:space="preserve">6. Query Logs &amp; Access</w:t>
      </w:r>
    </w:p>
    <w:p>
      <w:pPr>
        <w:pStyle w:val="ListParagraph"/>
        <w:numPr>
          <w:ilvl w:val="0"/>
          <w:numId w:val="2"/>
        </w:numPr>
        <w:spacing w:after="60"/>
      </w:pPr>
      <w:r>
        <w:rPr>
          <w:b w:val="false"/>
          <w:bCs w:val="false"/>
          <w:color w:val="222831"/>
          <w:sz w:val="21"/>
          <w:szCs w:val="21"/>
        </w:rPr>
        <w:t xml:space="preserve">Each request stores a minimal log entry (user id where signed in, the message, timestamp, which model answered, token usage) for abuse investigation and cost tracking</w:t>
      </w:r>
    </w:p>
    <w:p>
      <w:pPr>
        <w:spacing w:after="160"/>
      </w:pPr>
      <w:r>
        <w:rPr>
          <w:b/>
          <w:bCs/>
          <w:color w:val="C97C1C"/>
          <w:sz w:val="21"/>
          <w:szCs w:val="21"/>
        </w:rPr>
        <w:t xml:space="preserve">[DECISION] </w:t>
      </w:r>
      <w:r>
        <w:rPr>
          <w:sz w:val="21"/>
          <w:szCs w:val="21"/>
        </w:rPr>
        <w:t xml:space="preserve">Logs are retained for 30 days and then deleted, and are readable only through the separately-audited log-reviewer path — not through any general Admin screen. Thirty days is a judgment call balancing abuse investigation against minimizing a sensitive dataset; it should be revisited once real usage shows how long investigations actually take.</w:t>
      </w:r>
    </w:p>
    <w:p>
      <w:pPr>
        <w:pStyle w:val="Heading1"/>
      </w:pPr>
      <w:r>
        <w:t xml:space="preserve">7. Performance &amp; Cost Strategy</w:t>
      </w:r>
    </w:p>
    <w:p>
      <w:pPr>
        <w:pStyle w:val="ListParagraph"/>
        <w:numPr>
          <w:ilvl w:val="0"/>
          <w:numId w:val="2"/>
        </w:numPr>
        <w:spacing w:after="60"/>
      </w:pPr>
      <w:r>
        <w:rPr>
          <w:b w:val="false"/>
          <w:bCs w:val="false"/>
          <w:color w:val="222831"/>
          <w:sz w:val="21"/>
          <w:szCs w:val="21"/>
        </w:rPr>
        <w:t xml:space="preserve">Gemini 1.5 Flash chosen specifically as the fast, lower-cost option; a target of a few seconds for a typical answer, streamed so the student sees text appearing rather than waiting on a blank screen</w:t>
      </w:r>
    </w:p>
    <w:p>
      <w:pPr>
        <w:pStyle w:val="ListParagraph"/>
        <w:numPr>
          <w:ilvl w:val="0"/>
          <w:numId w:val="2"/>
        </w:numPr>
        <w:spacing w:after="60"/>
      </w:pPr>
      <w:r>
        <w:rPr>
          <w:b w:val="false"/>
          <w:bCs w:val="false"/>
          <w:color w:val="222831"/>
          <w:sz w:val="21"/>
          <w:szCs w:val="21"/>
        </w:rPr>
        <w:t xml:space="preserve">Retrieval is a single indexed pgvector query — the retrieval step should be a small fraction of total latency, not the bottleneck</w:t>
      </w:r>
    </w:p>
    <w:p>
      <w:pPr>
        <w:pStyle w:val="ListParagraph"/>
        <w:numPr>
          <w:ilvl w:val="0"/>
          <w:numId w:val="2"/>
        </w:numPr>
        <w:spacing w:after="60"/>
      </w:pPr>
      <w:r>
        <w:rPr>
          <w:b w:val="false"/>
          <w:bCs w:val="false"/>
          <w:color w:val="222831"/>
          <w:sz w:val="21"/>
          <w:szCs w:val="21"/>
        </w:rPr>
        <w:t xml:space="preserve">A global daily spend ceiling and per-user rate limits (T5) are treated as core requirements, not later hardening — consistent with the free-tier-first philosophy the platform already applies to Cloudinary video costs</w:t>
      </w:r>
    </w:p>
    <w:p>
      <w:pPr>
        <w:pStyle w:val="ListParagraph"/>
        <w:numPr>
          <w:ilvl w:val="0"/>
          <w:numId w:val="2"/>
        </w:numPr>
        <w:spacing w:after="60"/>
      </w:pPr>
      <w:r>
        <w:rPr>
          <w:b w:val="false"/>
          <w:bCs w:val="false"/>
          <w:color w:val="222831"/>
          <w:sz w:val="21"/>
          <w:szCs w:val="21"/>
        </w:rPr>
        <w:t xml:space="preserve">If both models are unavailable, the widget degrades to a plain "assistant temporarily unavailable" state rather than hanging or erroring</w:t>
      </w:r>
    </w:p>
    <w:sectPr>
      <w:headerReference w:type="default" r:id="rId13"/>
      <w:footerReference w:type="default" r:id="rId14"/>
      <w:pgSz w:w="12240" w:h="15840" w:orient="portrait"/>
      <w:pgMar w:top="1080" w:right="1080" w:bottom="1080" w:left="108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B6572"/>
        <w:sz w:val="16"/>
        <w:szCs w:val="16"/>
      </w:rPr>
      <w:t xml:space="preserve">Codey Dev — internal build spec</w:t>
    </w:r>
    <w:r>
      <w:rPr>
        <w:color w:val="5B6572"/>
        <w:sz w:val="16"/>
        <w:szCs w:val="16"/>
      </w:rPr>
      <w:t xml:space="preserve">	Page </w:t>
    </w:r>
    <w:r>
      <w:rPr>
        <w:color w:val="5B6572"/>
        <w:sz w:val="16"/>
        <w:szCs w:val="16"/>
      </w:rPr>
      <w:fldChar w:fldCharType="begin"/>
      <w:instrText xml:space="preserve">PAGE</w:instrText>
      <w:fldChar w:fldCharType="separate"/>
      <w:fldChar w:fldCharType="end"/>
    </w:r>
    <w:r>
      <w:rPr>
        <w:color w:val="5B6572"/>
        <w:sz w:val="16"/>
        <w:szCs w:val="16"/>
      </w:rPr>
      <w:t xml:space="preserve"> of </w:t>
    </w:r>
    <w:r>
      <w:rPr>
        <w:color w:val="5B65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AI Assistant</w:t>
    </w:r>
    <w:r>
      <w:rPr>
        <w:color w:val="5B6572"/>
        <w:sz w:val="16"/>
        <w:szCs w:val="16"/>
      </w:rPr>
      <w:t xml:space="preserve">	Technical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AI Assistant</w:t>
    </w:r>
    <w:r>
      <w:rPr>
        <w:color w:val="5B6572"/>
        <w:sz w:val="16"/>
        <w:szCs w:val="16"/>
      </w:rPr>
      <w:t xml:space="preserve">	Technical Design Document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AI Assistant</w:t>
    </w:r>
    <w:r>
      <w:rPr>
        <w:color w:val="5B6572"/>
        <w:sz w:val="16"/>
        <w:szCs w:val="16"/>
      </w:rPr>
      <w:t xml:space="preserve">	Technical Design Document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CE2" w:sz="4" w:space="4"/>
      </w:pBdr>
      <w:tabs>
        <w:tab w:val="right" w:pos="9026"/>
      </w:tabs>
    </w:pPr>
    <w:r>
      <w:rPr>
        <w:color w:val="5B6572"/>
        <w:sz w:val="16"/>
        <w:szCs w:val="16"/>
      </w:rPr>
      <w:t xml:space="preserve">Voice of UPSA — AI Assistant</w:t>
    </w:r>
    <w:r>
      <w:rPr>
        <w:color w:val="5B6572"/>
        <w:sz w:val="16"/>
        <w:szCs w:val="16"/>
      </w:rPr>
      <w:t xml:space="preserve">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lvl w:ilvl="1" w15:tentative="1">
      <w:start w:val="1"/>
      <w:numFmt w:val="bullet"/>
      <w:lvlText w:val="–"/>
      <w:lvlJc w:val="left"/>
      <w:pPr>
        <w:ind w:left="792" w:hanging="259"/>
      </w:pPr>
    </w:lvl>
  </w:abstractNum>
  <w:abstractNum w:abstractNumId="3" w15:restartNumberingAfterBreak="0">
    <w:multiLevelType w:val="hybridMultilevel"/>
    <w:lvl w:ilvl="0" w15:tentative="1">
      <w:start w:val="1"/>
      <w:numFmt w:val="decimal"/>
      <w:lvlText w:val="%1."/>
      <w:lvlJc w:val="left"/>
      <w:pPr>
        <w:ind w:left="431"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83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1B2A4A"/>
      <w:sz w:val="56"/>
      <w:szCs w:val="56"/>
    </w:rPr>
  </w:style>
  <w:style w:type="paragraph" w:styleId="Subtitle">
    <w:name w:val="Subtitle"/>
    <w:basedOn w:val="Normal"/>
    <w:next w:val="Normal"/>
    <w:pPr>
      <w:spacing w:after="60"/>
    </w:pPr>
    <w:rPr>
      <w:rFonts w:ascii="Calibri" w:cs="Calibri" w:eastAsia="Calibri" w:hAnsi="Calibri"/>
      <w:color w:val="5B6572"/>
      <w:sz w:val="26"/>
      <w:szCs w:val="26"/>
    </w:rPr>
  </w:style>
  <w:style w:type="paragraph" w:styleId="Heading1">
    <w:name w:val="Heading 1"/>
    <w:basedOn w:val="Normal"/>
    <w:next w:val="Normal"/>
    <w:qFormat/>
    <w:pPr>
      <w:pBdr>
        <w:bottom w:val="single" w:color="1B2A4A" w:sz="6" w:space="4"/>
      </w:pBdr>
      <w:spacing w:after="160" w:before="360"/>
    </w:pPr>
    <w:rPr>
      <w:rFonts w:ascii="Calibri" w:cs="Calibri" w:eastAsia="Calibri" w:hAnsi="Calibri"/>
      <w:b/>
      <w:bCs/>
      <w:color w:val="1B2A4A"/>
      <w:sz w:val="32"/>
      <w:szCs w:val="32"/>
    </w:rPr>
  </w:style>
  <w:style w:type="paragraph" w:styleId="Heading2">
    <w:name w:val="Heading 2"/>
    <w:basedOn w:val="Normal"/>
    <w:next w:val="Normal"/>
    <w:qFormat/>
    <w:pPr>
      <w:spacing w:after="120" w:before="260"/>
    </w:pPr>
    <w:rPr>
      <w:rFonts w:ascii="Calibri" w:cs="Calibri" w:eastAsia="Calibri" w:hAnsi="Calibri"/>
      <w:b/>
      <w:bCs/>
      <w:color w:val="1F7A6C"/>
      <w:sz w:val="26"/>
      <w:szCs w:val="26"/>
    </w:rPr>
  </w:style>
  <w:style w:type="paragraph" w:styleId="Heading3">
    <w:name w:val="Heading 3"/>
    <w:basedOn w:val="Normal"/>
    <w:next w:val="Normal"/>
    <w:qFormat/>
    <w:pPr>
      <w:spacing w:after="80" w:before="180"/>
    </w:pPr>
    <w:rPr>
      <w:rFonts w:ascii="Calibri" w:cs="Calibri" w:eastAsia="Calibri" w:hAnsi="Calibri"/>
      <w:b/>
      <w:bCs/>
      <w:color w:val="2228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2026-09-28T00:11:24.028Z</dcterms:created>
  <dcterms:modified xsi:type="dcterms:W3CDTF">2026-09-28T00:11:24.028Z</dcterms:modified>
</cp:coreProperties>
</file>

<file path=docProps/custom.xml><?xml version="1.0" encoding="utf-8"?>
<Properties xmlns="http://schemas.openxmlformats.org/officeDocument/2006/custom-properties" xmlns:vt="http://schemas.openxmlformats.org/officeDocument/2006/docPropsVTypes"/>
</file>