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  <w:r>
        <w:rPr>
          <w:b/>
          <w:bCs/>
          <w:color w:val="1F7A6C"/>
          <w:spacing w:val="20"/>
          <w:sz w:val="22"/>
          <w:szCs w:val="22"/>
        </w:rPr>
        <w:t xml:space="preserve">APP FLOW</w:t>
      </w:r>
    </w:p>
    <w:p>
      <w:pPr>
        <w:pStyle w:val="Title"/>
        <w:spacing w:after="120" w:before="160"/>
      </w:pPr>
      <w:r>
        <w:rPr>
          <w:b/>
          <w:bCs/>
          <w:color w:val="1B2A4A"/>
          <w:sz w:val="56"/>
          <w:szCs w:val="56"/>
        </w:rPr>
        <w:t xml:space="preserve">Campus Mart</w:t>
      </w:r>
    </w:p>
    <w:p>
      <w:pPr>
        <w:pStyle w:val="Subtitle"/>
      </w:pPr>
      <w:r>
        <w:rPr>
          <w:color w:val="5B6572"/>
          <w:sz w:val="26"/>
          <w:szCs w:val="26"/>
        </w:rPr>
        <w:t xml:space="preserve">User journeys, screen flow, and URL structure — Phase 1</w:t>
      </w:r>
    </w:p>
    <w:p>
      <w:pPr>
        <w:pBdr>
          <w:bottom w:val="single" w:color="D8DCE2" w:sz="4" w:space="1"/>
        </w:pBdr>
        <w:spacing w:after="200" w:before="100"/>
      </w:pPr>
      <w:r>
        <w:t xml:space="preserve"/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for:  </w:t>
      </w:r>
      <w:r>
        <w:rPr>
          <w:color w:val="222831"/>
          <w:sz w:val="19"/>
          <w:szCs w:val="19"/>
        </w:rPr>
        <w:t xml:space="preserve">Voice of UPSA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by:  </w:t>
      </w:r>
      <w:r>
        <w:rPr>
          <w:color w:val="222831"/>
          <w:sz w:val="19"/>
          <w:szCs w:val="19"/>
        </w:rPr>
        <w:t xml:space="preserve">Codey Dev — Aka Brown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Version:  </w:t>
      </w:r>
      <w:r>
        <w:rPr>
          <w:color w:val="222831"/>
          <w:sz w:val="19"/>
          <w:szCs w:val="19"/>
        </w:rPr>
        <w:t xml:space="preserve">1.0</w:t>
      </w:r>
    </w:p>
    <w:p>
      <w:r>
        <w:br w:type="page"/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titlePg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1. Buyer Journey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Visitor lands on /mart or a Voice of UPSA article linking to a store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Browses / searches / filters products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Opens a product page → views seller card, stock, reviews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Adds to cart (prompted to sign in if not authenticated)</w:t>
      </w:r>
    </w:p>
    <w:p>
      <w:pPr>
        <w:spacing w:after="40"/>
      </w:pPr>
      <w:r>
        <w:rPr>
          <w:b/>
          <w:bCs/>
          <w:color w:val="C97C1C"/>
          <w:sz w:val="20"/>
          <w:szCs w:val="20"/>
        </w:rPr>
        <w:t xml:space="preserve">❖  </w:t>
      </w:r>
      <w:r>
        <w:rPr>
          <w:sz w:val="21"/>
          <w:szCs w:val="21"/>
        </w:rPr>
        <w:t xml:space="preserve">Opens cart — items grouped by seller with subtotals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Proceeds to checkout → selects campus delivery location → confirms Pay on Delivery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Server validates stock + recomputes price → creates one order per seller under a shared checkout session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Order confirmation screen → order(s) appear in My Orders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Seller confirms → buyer sees status update in real time (Supabase Realtime)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Order reaches Delivered → buyer pays the seller in person → buyer prompted to review product + seller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Buyer can reorder, contact seller, or report a problem at any point from My Orders</w:t>
      </w:r>
    </w:p>
    <w:p>
      <w:pPr>
        <w:pStyle w:val="Heading1"/>
      </w:pPr>
      <w:r>
        <w:t xml:space="preserve">2. Seller Journey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Signed-in user opens “Become a Seller” → submits registration form</w:t>
      </w:r>
    </w:p>
    <w:p>
      <w:pPr>
        <w:spacing w:after="40"/>
      </w:pPr>
      <w:r>
        <w:rPr>
          <w:b/>
          <w:bCs/>
          <w:color w:val="C97C1C"/>
          <w:sz w:val="20"/>
          <w:szCs w:val="20"/>
        </w:rPr>
        <w:t xml:space="preserve">❖  </w:t>
      </w:r>
      <w:r>
        <w:rPr>
          <w:sz w:val="21"/>
          <w:szCs w:val="21"/>
        </w:rPr>
        <w:t xml:space="preserve">Account enters Pending Verification — sees status banner until reviewed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Admin approves → seller notified → prompted to complete store setup (name, slug, logo, banner, policies)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Seller adds a product → product enters Pending Review</w:t>
      </w:r>
    </w:p>
    <w:p>
      <w:pPr>
        <w:spacing w:after="40"/>
      </w:pPr>
      <w:r>
        <w:rPr>
          <w:b/>
          <w:bCs/>
          <w:color w:val="C97C1C"/>
          <w:sz w:val="20"/>
          <w:szCs w:val="20"/>
        </w:rPr>
        <w:t xml:space="preserve">❖  </w:t>
      </w:r>
      <w:r>
        <w:rPr>
          <w:sz w:val="21"/>
          <w:szCs w:val="21"/>
        </w:rPr>
        <w:t xml:space="preserve">Admin approves → product goes live on storefront and category/search pages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Buyer places an order → seller gets a real-time + in-app notification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Seller reviews order in dashboard → Accept or Reject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If accepted → seller moves order through Processing → Ready → Out for Delivery → Delivered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Seller monitors dashboard rollups (orders, revenue, low-stock) and responds to buyer messages / reviews</w:t>
      </w:r>
    </w:p>
    <w:p>
      <w:pPr>
        <w:pStyle w:val="Heading1"/>
      </w:pPr>
      <w:r>
        <w:t xml:space="preserve">3. Admin Journey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Admin opens /admin/mart → moderation queue shows pending sellers and pending products together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Reviews a seller application → Approve / Reject (reject requires a note)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Reviews a product → Approve / Reject / Request changes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Monitors open reports/disputes → investigates → resolves with a recorded resolution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Manages categories as the catalogue grows</w:t>
      </w:r>
    </w:p>
    <w:p>
      <w:pPr>
        <w:spacing w:after="40"/>
      </w:pPr>
      <w:r>
        <w:rPr>
          <w:b/>
          <w:bCs/>
          <w:color w:val="C97C1C"/>
          <w:sz w:val="20"/>
          <w:szCs w:val="20"/>
        </w:rPr>
        <w:t xml:space="preserve">❖  </w:t>
      </w:r>
      <w:r>
        <w:rPr>
          <w:sz w:val="21"/>
          <w:szCs w:val="21"/>
        </w:rPr>
        <w:t xml:space="preserve">All actions above write to the audit log automatically — no separate step required</w:t>
      </w:r>
    </w:p>
    <w:p>
      <w:pPr>
        <w:sectPr>
          <w:headerReference w:type="default" r:id="rId9"/>
          <w:footerReference w:type="default" r:id="rId10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4. Multi-Seller Cart → Checkout → Order Split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831"/>
          <w:sz w:val="21"/>
          <w:szCs w:val="21"/>
        </w:rPr>
        <w:t xml:space="preserve">This is the one flow in Campus Mart with real data-modeling weight, so it’s worth diagramming on its own.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tblHeader/>
        </w:trPr>
        <w:tc>
          <w:tcPr>
            <w:tcW w:type="dxa" w:w="22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78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Cart</w:t>
            </w:r>
          </w:p>
        </w:tc>
        <w:tc>
          <w:tcPr>
            <w:tcW w:type="dxa" w:w="78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cart_items can reference products from any number of distinct stores; the cart UI groups them by seller with a running subtotal per seller</w:t>
            </w:r>
          </w:p>
        </w:tc>
      </w:tr>
      <w:tr>
        <w:tc>
          <w:tcPr>
            <w:tcW w:type="dxa" w:w="2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Checkout submit</w:t>
            </w:r>
          </w:p>
        </w:tc>
        <w:tc>
          <w:tcPr>
            <w:tcW w:type="dxa" w:w="78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 sends the full cart plus a generated idempotency_key; no prices are sent — only product_id + quantity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Server validation</w:t>
            </w:r>
          </w:p>
        </w:tc>
        <w:tc>
          <w:tcPr>
            <w:tcW w:type="dxa" w:w="78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For every line: re-fetch current product price/stock, reject or flag out-of-stock/changed-price items before proceeding</w:t>
            </w:r>
          </w:p>
        </w:tc>
      </w:tr>
      <w:tr>
        <w:tc>
          <w:tcPr>
            <w:tcW w:type="dxa" w:w="2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Order creation</w:t>
            </w:r>
          </w:p>
        </w:tc>
        <w:tc>
          <w:tcPr>
            <w:tcW w:type="dxa" w:w="78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One orders row is created per distinct seller in the cart, all sharing a single checkout_session_id; each order gets its own order_items with frozen price snapshots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Confirmation</w:t>
            </w:r>
          </w:p>
        </w:tc>
        <w:tc>
          <w:tcPr>
            <w:tcW w:type="dxa" w:w="78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Buyer sees one confirmation screen listing all resulting orders (e.g. “2 orders placed — from Tobi Tech and Campus Eats”)</w:t>
            </w:r>
          </w:p>
        </w:tc>
      </w:tr>
      <w:tr>
        <w:tc>
          <w:tcPr>
            <w:tcW w:type="dxa" w:w="2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Downstream</w:t>
            </w:r>
          </w:p>
        </w:tc>
        <w:tc>
          <w:tcPr>
            <w:tcW w:type="dxa" w:w="78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Each seller only ever sees and manages their own order; the buyer’s My Orders lists both, linked by checkout_session_id for the buyer’s own reference</w:t>
            </w:r>
          </w:p>
        </w:tc>
      </w:tr>
    </w:tbl>
    <w:p>
      <w:pPr>
        <w:pStyle w:val="Heading1"/>
      </w:pPr>
      <w:r>
        <w:t xml:space="preserve">5. Voice of UPSA Editorial → Store Link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831"/>
          <w:sz w:val="21"/>
          <w:szCs w:val="21"/>
        </w:rPr>
        <w:t xml:space="preserve">The one cross-platform flow Campus Mart needs to support at launch, per the original concept brief: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Voice of UPSA publishes a “Meet the Student Behind [Store]” article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Article includes a “Visit [Store] on Campus Mart” link to /mart/store/[slug]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Reader lands on the storefront already warmed up by the article context → browses products → enters the buyer journey above</w:t>
      </w:r>
    </w:p>
    <w:p>
      <w:pPr>
        <w:spacing w:after="120"/>
      </w:pPr>
      <w:r>
        <w:rPr>
          <w:b w:val="false"/>
          <w:bCs w:val="false"/>
          <w:i/>
          <w:iCs/>
          <w:color w:val="222831"/>
          <w:sz w:val="21"/>
          <w:szCs w:val="21"/>
        </w:rPr>
        <w:t xml:space="preserve">No special integration work is required beyond the storefront URL being stable and public — this is a content/editorial workflow, not a technical dependency.</w:t>
      </w:r>
    </w:p>
    <w:p>
      <w:pPr>
        <w:sectPr>
          <w:headerReference w:type="default" r:id="rId11"/>
          <w:footerReference w:type="default" r:id="rId12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6. URL Structure (Phase 1)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64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/mart</w:t>
            </w:r>
          </w:p>
        </w:tc>
        <w:tc>
          <w:tcPr>
            <w:tcW w:type="dxa" w:w="6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Marketplace homepage</w:t>
            </w:r>
          </w:p>
        </w:tc>
      </w:tr>
      <w:tr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/mart/products</w:t>
            </w:r>
          </w:p>
        </w:tc>
        <w:tc>
          <w:tcPr>
            <w:tcW w:type="dxa" w:w="64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Full product listing with filters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/mart/products/[slug]</w:t>
            </w:r>
          </w:p>
        </w:tc>
        <w:tc>
          <w:tcPr>
            <w:tcW w:type="dxa" w:w="6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Product detail</w:t>
            </w:r>
          </w:p>
        </w:tc>
      </w:tr>
      <w:tr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/mart/category/[slug]</w:t>
            </w:r>
          </w:p>
        </w:tc>
        <w:tc>
          <w:tcPr>
            <w:tcW w:type="dxa" w:w="64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Category listing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/mart/store/[slug]</w:t>
            </w:r>
          </w:p>
        </w:tc>
        <w:tc>
          <w:tcPr>
            <w:tcW w:type="dxa" w:w="6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Public seller storefront</w:t>
            </w:r>
          </w:p>
        </w:tc>
      </w:tr>
      <w:tr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/mart/cart</w:t>
            </w:r>
          </w:p>
        </w:tc>
        <w:tc>
          <w:tcPr>
            <w:tcW w:type="dxa" w:w="64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Cart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/mart/checkout</w:t>
            </w:r>
          </w:p>
        </w:tc>
        <w:tc>
          <w:tcPr>
            <w:tcW w:type="dxa" w:w="6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Checkout</w:t>
            </w:r>
          </w:p>
        </w:tc>
      </w:tr>
      <w:tr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/mart/orders</w:t>
            </w:r>
          </w:p>
        </w:tc>
        <w:tc>
          <w:tcPr>
            <w:tcW w:type="dxa" w:w="64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Buyer order history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/mart/orders/[id]</w:t>
            </w:r>
          </w:p>
        </w:tc>
        <w:tc>
          <w:tcPr>
            <w:tcW w:type="dxa" w:w="6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Buyer order detail / tracking</w:t>
            </w:r>
          </w:p>
        </w:tc>
      </w:tr>
      <w:tr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/mart/account</w:t>
            </w:r>
          </w:p>
        </w:tc>
        <w:tc>
          <w:tcPr>
            <w:tcW w:type="dxa" w:w="64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Buyer account settings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/mart/sell</w:t>
            </w:r>
          </w:p>
        </w:tc>
        <w:tc>
          <w:tcPr>
            <w:tcW w:type="dxa" w:w="6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Seller application entry point</w:t>
            </w:r>
          </w:p>
        </w:tc>
      </w:tr>
      <w:tr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/mart/seller</w:t>
            </w:r>
          </w:p>
        </w:tc>
        <w:tc>
          <w:tcPr>
            <w:tcW w:type="dxa" w:w="64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Seller dashboard overview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/mart/seller/products</w:t>
            </w:r>
          </w:p>
        </w:tc>
        <w:tc>
          <w:tcPr>
            <w:tcW w:type="dxa" w:w="6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Seller product list</w:t>
            </w:r>
          </w:p>
        </w:tc>
      </w:tr>
      <w:tr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/mart/seller/products/new</w:t>
            </w:r>
          </w:p>
        </w:tc>
        <w:tc>
          <w:tcPr>
            <w:tcW w:type="dxa" w:w="64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Add product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/mart/seller/products/[id]/edit</w:t>
            </w:r>
          </w:p>
        </w:tc>
        <w:tc>
          <w:tcPr>
            <w:tcW w:type="dxa" w:w="6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Edit product</w:t>
            </w:r>
          </w:p>
        </w:tc>
      </w:tr>
      <w:tr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/mart/seller/orders</w:t>
            </w:r>
          </w:p>
        </w:tc>
        <w:tc>
          <w:tcPr>
            <w:tcW w:type="dxa" w:w="64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Seller order queue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/mart/seller/store</w:t>
            </w:r>
          </w:p>
        </w:tc>
        <w:tc>
          <w:tcPr>
            <w:tcW w:type="dxa" w:w="6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Store settings</w:t>
            </w:r>
          </w:p>
        </w:tc>
      </w:tr>
      <w:tr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/admin/mart</w:t>
            </w:r>
          </w:p>
        </w:tc>
        <w:tc>
          <w:tcPr>
            <w:tcW w:type="dxa" w:w="64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 moderation overview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/admin/mart/sellers</w:t>
            </w:r>
          </w:p>
        </w:tc>
        <w:tc>
          <w:tcPr>
            <w:tcW w:type="dxa" w:w="6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Seller queue</w:t>
            </w:r>
          </w:p>
        </w:tc>
      </w:tr>
      <w:tr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/admin/mart/products</w:t>
            </w:r>
          </w:p>
        </w:tc>
        <w:tc>
          <w:tcPr>
            <w:tcW w:type="dxa" w:w="64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Product moderation queue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/admin/mart/categories</w:t>
            </w:r>
          </w:p>
        </w:tc>
        <w:tc>
          <w:tcPr>
            <w:tcW w:type="dxa" w:w="6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Category management</w:t>
            </w:r>
          </w:p>
        </w:tc>
      </w:tr>
      <w:tr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/admin/mart/reports</w:t>
            </w:r>
          </w:p>
        </w:tc>
        <w:tc>
          <w:tcPr>
            <w:tcW w:type="dxa" w:w="64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Reports &amp; disputes</w:t>
            </w:r>
          </w:p>
        </w:tc>
      </w:tr>
    </w:tbl>
    <w:p>
      <w:pPr>
        <w:spacing w:after="0"/>
      </w:pPr>
      <w:r>
        <w:rPr>
          <w:b w:val="false"/>
          <w:bCs w:val="false"/>
          <w:i/>
          <w:iCs/>
          <w:color w:val="222831"/>
          <w:sz w:val="21"/>
          <w:szCs w:val="21"/>
        </w:rPr>
        <w:t xml:space="preserve">Deferred to later phases and intentionally not reserved yet: seller analytics as a standalone route (folded into /mart/seller for Phase 1), delivery-agent routes, wallet/withdrawal routes.</w:t>
      </w:r>
    </w:p>
    <w:sectPr>
      <w:headerReference w:type="default" r:id="rId13"/>
      <w:footerReference w:type="default" r:id="rId14"/>
      <w:pgSz w:w="12240" w:h="15840" w:orient="portrait"/>
      <w:pgMar w:top="1080" w:right="1080" w:bottom="1080" w:left="108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Campus Mart</w:t>
    </w:r>
    <w:r>
      <w:rPr>
        <w:color w:val="5B6572"/>
        <w:sz w:val="16"/>
        <w:szCs w:val="16"/>
      </w:rPr>
      <w:t xml:space="preserve">	App Flow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Campus Mart</w:t>
    </w:r>
    <w:r>
      <w:rPr>
        <w:color w:val="5B6572"/>
        <w:sz w:val="16"/>
        <w:szCs w:val="16"/>
      </w:rPr>
      <w:t xml:space="preserve">	App Flow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Campus Mart</w:t>
    </w:r>
    <w:r>
      <w:rPr>
        <w:color w:val="5B6572"/>
        <w:sz w:val="16"/>
        <w:szCs w:val="16"/>
      </w:rPr>
      <w:t xml:space="preserve">	App Flow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Campus Mart</w:t>
    </w:r>
    <w:r>
      <w:rPr>
        <w:color w:val="5B6572"/>
        <w:sz w:val="16"/>
        <w:szCs w:val="16"/>
      </w:rPr>
      <w:t xml:space="preserve">	App Flow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–"/>
      <w:lvlJc w:val="left"/>
      <w:pPr>
        <w:ind w:left="792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316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83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libri" w:cs="Calibri" w:eastAsia="Calibri" w:hAnsi="Calibri"/>
      <w:b/>
      <w:bCs/>
      <w:color w:val="1B2A4A"/>
      <w:sz w:val="56"/>
      <w:szCs w:val="56"/>
    </w:rPr>
  </w:style>
  <w:style w:type="paragraph" w:styleId="Subtitle">
    <w:name w:val="Subtitle"/>
    <w:basedOn w:val="Normal"/>
    <w:next w:val="Normal"/>
    <w:pPr>
      <w:spacing w:after="60"/>
    </w:pPr>
    <w:rPr>
      <w:rFonts w:ascii="Calibri" w:cs="Calibri" w:eastAsia="Calibri" w:hAnsi="Calibri"/>
      <w:color w:val="5B6572"/>
      <w:sz w:val="26"/>
      <w:szCs w:val="26"/>
    </w:rPr>
  </w:style>
  <w:style w:type="paragraph" w:styleId="Heading1">
    <w:name w:val="Heading 1"/>
    <w:basedOn w:val="Normal"/>
    <w:next w:val="Normal"/>
    <w:qFormat/>
    <w:pPr>
      <w:pBdr>
        <w:bottom w:val="single" w:color="1B2A4A" w:sz="6" w:space="4"/>
      </w:pBdr>
      <w:spacing w:after="160" w:before="360"/>
    </w:pPr>
    <w:rPr>
      <w:rFonts w:ascii="Calibri" w:cs="Calibri" w:eastAsia="Calibri" w:hAnsi="Calibri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1F7A6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</w:pPr>
    <w:rPr>
      <w:rFonts w:ascii="Calibri" w:cs="Calibri" w:eastAsia="Calibri" w:hAnsi="Calibri"/>
      <w:b/>
      <w:bCs/>
      <w:color w:val="22283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2026-09-23T21:08:58.256Z</dcterms:created>
  <dcterms:modified xsi:type="dcterms:W3CDTF">2026-09-23T21:08:58.256Z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