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UPSA Campus Map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the shared audit log; introduces Mapbox GL JS / MapLibre GL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lowest-risk feature since Campus Polls — entirely Admin-authored content, no user submissions, no moderation queue, no reports table. The only new piece of infrastructure is the map library itself, already named in the standing engineering stack.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every prior feature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rendering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Mapbox GL JS (or MapLibre GL as the open-source fallback)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Standing stack choice; a custom map style applied to match the Voice of UPSA palette rather than Mapbox’s default styling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list caching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Auth, PostGIS)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PostGIS used for coordinate storage and any future proximity queries, consistent with the standing stack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pin create/edit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pin photos; same EXIF/location-stripping preset established as a platform-wide rule by Campus Gallery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list cached aggressively — this data changes rarely, same posture as the Directory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pin create/edit/deactivate writes here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pins (read, active)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no login required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inactive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pins (create/edit/deactivate)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categories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CRUD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 narrower surface than any feature since Campus Mart — there is no user-generated content here to abuse, so the risks are about data accuracy and standard infrastructure hygiene rather than trust-and-safety.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Compromised or malicious Admin account places an incorrect or misleading pin (e.g. wrong location for a health or security service)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pin write is recorded in the shared, append-only audit log (actor, before/after, timestamp) — same control used for the Directory’s listings (TDD precedent, Directory §5.2)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pin’s cross-link (to a Directory service or Gallery album) goes stale — the linked resource is later deactivated, unpublished, or removed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pin detail query checks the linked resource’s current public status at read time and simply omits the link if it’s no longer active — never a dead or misleading link (Section 5.2)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Mapbox access token is copied and used on another site, running up usage against this account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public token is restricted to the Voice of UPSA domain(s) in the Mapbox dashboard — a standard, concrete Mapbox security setting, called out explicitly in the deployment checklist (Section 6)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injection via the pin search input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Parameterized queries; no string-concatenated search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Scripted/high-volume abuse of the pin-list endpoint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limiting as a baseline, consistent with every public read endpoint on the platform, even though this data carries no disclosure risk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getMapPins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bounds (optional, for viewport-based loading),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active; cached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getMapPin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the linked service/album’s current public status (T2)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getMapCategories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Cached, invalidated on admin write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createPin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fields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Coordinates set via map-click picker on the Admin form, not typed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updatePin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fields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deactivatePin / deletePin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pin_id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 hides from public map; delete is soft-delete only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manageCategory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fields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Soft delete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Pins are soft-deleted, consistent with every other feature’s pattern.</w:t>
      </w:r>
    </w:p>
    <w:p>
      <w:pPr>
        <w:pStyle w:val="Heading3"/>
      </w:pPr>
      <w:r>
        <w:t xml:space="preserve">5.2 Cross-link freshness check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on getMapPin: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pin.linked_service_id is set: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include the link only if directory.services.status = active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pin.linked_album_id is set: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include the link only if gallery.albums.status = published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otherwise: omit the link silently, show the pin normally</w:t>
      </w:r>
    </w:p>
    <w:p>
      <w:pPr>
        <w:pStyle w:val="Heading3"/>
      </w:pPr>
      <w:r>
        <w:t xml:space="preserve">5.3 No reports table used here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Unlike Campus Mart, the Job Board, and Campus Gallery, this feature does not write into the shared public.reports table — there is no user-generated content on the map to report. If Phase 2 adds a "this pin looks wrong" correction path, that’s the point to start using it.</w:t>
      </w:r>
    </w:p>
    <w:p>
      <w:pPr>
        <w:pStyle w:val="Heading1"/>
      </w:pPr>
      <w:r>
        <w:t xml:space="preserve">6. Performance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Pins cluster client-side at low zoom levels so the map stays legible and performant regardless of pin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Pin list cached in Redis, invalidated on any Admin write — same posture as the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Deployment checklist addition: restrict the public Mapbox access token to the Voice of UPSA domain(s) before going live (T3) — alongside the existing Cloudinary and Arcjet key setup from prior features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2026-09-26T08:52:52.985Z</dcterms:created>
  <dcterms:modified xsi:type="dcterms:W3CDTF">2026-09-26T08:52:52.995Z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