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  <w:r>
        <w:rPr>
          <w:b/>
          <w:bCs/>
          <w:color w:val="1F7A6C"/>
          <w:spacing w:val="20"/>
          <w:sz w:val="22"/>
          <w:szCs w:val="22"/>
        </w:rPr>
        <w:t xml:space="preserve">APP FLOW</w:t>
      </w:r>
    </w:p>
    <w:p>
      <w:pPr>
        <w:pStyle w:val="Title"/>
        <w:spacing w:after="120" w:before="160"/>
      </w:pPr>
      <w:r>
        <w:rPr>
          <w:b/>
          <w:bCs/>
          <w:color w:val="1B2A4A"/>
          <w:sz w:val="56"/>
          <w:szCs w:val="56"/>
        </w:rPr>
        <w:t xml:space="preserve">Campus Video &amp; Voice of UPSA TV</w:t>
      </w:r>
    </w:p>
    <w:p>
      <w:pPr>
        <w:pStyle w:val="Subtitle"/>
      </w:pPr>
      <w:r>
        <w:rPr>
          <w:color w:val="5B6572"/>
          <w:sz w:val="26"/>
          <w:szCs w:val="26"/>
        </w:rPr>
        <w:t xml:space="preserve">User journeys, screen flow, and URL structure — Phase 1</w:t>
      </w:r>
    </w:p>
    <w:p>
      <w:pPr>
        <w:pBdr>
          <w:bottom w:val="single" w:color="D8DCE2" w:sz="4" w:space="1"/>
        </w:pBdr>
        <w:spacing w:after="200" w:before="100"/>
      </w:pPr>
      <w:r>
        <w:t xml:space="preserve"/>
      </w:r>
    </w:p>
    <w:p>
      <w:pPr>
        <w:spacing w:after="60"/>
      </w:pPr>
      <w:r>
        <w:rPr>
          <w:b/>
          <w:bCs/>
          <w:color w:val="5B6572"/>
          <w:sz w:val="19"/>
          <w:szCs w:val="19"/>
        </w:rPr>
        <w:t xml:space="preserve">Prepared for:  </w:t>
      </w:r>
      <w:r>
        <w:rPr>
          <w:color w:val="222831"/>
          <w:sz w:val="19"/>
          <w:szCs w:val="19"/>
        </w:rPr>
        <w:t xml:space="preserve">Voice of UPSA</w:t>
      </w:r>
    </w:p>
    <w:p>
      <w:pPr>
        <w:spacing w:after="60"/>
      </w:pPr>
      <w:r>
        <w:rPr>
          <w:b/>
          <w:bCs/>
          <w:color w:val="5B6572"/>
          <w:sz w:val="19"/>
          <w:szCs w:val="19"/>
        </w:rPr>
        <w:t xml:space="preserve">Prepared by:  </w:t>
      </w:r>
      <w:r>
        <w:rPr>
          <w:color w:val="222831"/>
          <w:sz w:val="19"/>
          <w:szCs w:val="19"/>
        </w:rPr>
        <w:t xml:space="preserve">Codey Dev — Aka Brown</w:t>
      </w:r>
    </w:p>
    <w:p>
      <w:pPr>
        <w:spacing w:after="60"/>
      </w:pPr>
      <w:r>
        <w:rPr>
          <w:b/>
          <w:bCs/>
          <w:color w:val="5B6572"/>
          <w:sz w:val="19"/>
          <w:szCs w:val="19"/>
        </w:rPr>
        <w:t xml:space="preserve">Version:  </w:t>
      </w:r>
      <w:r>
        <w:rPr>
          <w:color w:val="222831"/>
          <w:sz w:val="19"/>
          <w:szCs w:val="19"/>
        </w:rPr>
        <w:t xml:space="preserve">1.0</w:t>
      </w:r>
    </w:p>
    <w:p>
      <w:r>
        <w:br w:type="page"/>
      </w:r>
    </w:p>
    <w:p>
      <w:pPr>
        <w:sectPr>
          <w:pgSz w:w="12240" w:h="15840" w:orient="portrait"/>
          <w:pgMar w:top="1080" w:right="1080" w:bottom="1080" w:left="1080" w:header="708" w:footer="708" w:gutter="0"/>
          <w:pgNumType/>
          <w:titlePg/>
          <w:docGrid w:linePitch="360"/>
        </w:sectPr>
      </w:pP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ectPr>
          <w:headerReference w:type="default" r:id="rId7"/>
          <w:footerReference w:type="default" r:id="rId8"/>
          <w:pgSz w:w="12240" w:h="15840" w:orient="portrait"/>
          <w:pgMar w:top="1080" w:right="1080" w:bottom="1080" w:left="1080" w:header="708" w:footer="708" w:gutter="0"/>
          <w:pgNumType/>
          <w:titlePg w:val="false"/>
          <w:docGrid w:linePitch="360"/>
        </w:sectPr>
      </w:pPr>
    </w:p>
    <w:p>
      <w:pPr>
        <w:pStyle w:val="Heading1"/>
      </w:pPr>
      <w:r>
        <w:t xml:space="preserve">1. Visitor / Student Journey</w:t>
      </w:r>
    </w:p>
    <w:p>
      <w:pPr>
        <w:spacing w:after="40"/>
      </w:pPr>
      <w:r>
        <w:rPr>
          <w:b/>
          <w:bCs/>
          <w:color w:val="1F7A6C"/>
          <w:sz w:val="20"/>
          <w:szCs w:val="20"/>
        </w:rPr>
        <w:t xml:space="preserve">→  </w:t>
      </w:r>
      <w:r>
        <w:rPr>
          <w:sz w:val="21"/>
          <w:szCs w:val="21"/>
        </w:rPr>
        <w:t xml:space="preserve">Opens /video — no login required</w:t>
      </w:r>
    </w:p>
    <w:p>
      <w:pPr>
        <w:spacing w:after="40"/>
      </w:pPr>
      <w:r>
        <w:rPr>
          <w:b/>
          <w:bCs/>
          <w:color w:val="1F7A6C"/>
          <w:sz w:val="20"/>
          <w:szCs w:val="20"/>
        </w:rPr>
        <w:t xml:space="preserve">→  </w:t>
      </w:r>
      <w:r>
        <w:rPr>
          <w:sz w:val="21"/>
          <w:szCs w:val="21"/>
        </w:rPr>
        <w:t xml:space="preserve">Sees "Voice of UPSA TV" featured, browses other shows by category</w:t>
      </w:r>
    </w:p>
    <w:p>
      <w:pPr>
        <w:spacing w:after="40"/>
      </w:pPr>
      <w:r>
        <w:rPr>
          <w:b/>
          <w:bCs/>
          <w:color w:val="1F7A6C"/>
          <w:sz w:val="20"/>
          <w:szCs w:val="20"/>
        </w:rPr>
        <w:t xml:space="preserve">→  </w:t>
      </w:r>
      <w:r>
        <w:rPr>
          <w:sz w:val="21"/>
          <w:szCs w:val="21"/>
        </w:rPr>
        <w:t xml:space="preserve">Opens a show → browses its videos</w:t>
      </w:r>
    </w:p>
    <w:p>
      <w:pPr>
        <w:spacing w:after="40"/>
      </w:pPr>
      <w:r>
        <w:rPr>
          <w:b/>
          <w:bCs/>
          <w:color w:val="C97C1C"/>
          <w:sz w:val="20"/>
          <w:szCs w:val="20"/>
        </w:rPr>
        <w:t xml:space="preserve">❖  </w:t>
      </w:r>
      <w:r>
        <w:rPr>
          <w:sz w:val="21"/>
          <w:szCs w:val="21"/>
        </w:rPr>
        <w:t xml:space="preserve">Plays a video — quality adapts to connection automatically</w:t>
      </w:r>
    </w:p>
    <w:p>
      <w:pPr>
        <w:spacing w:after="40"/>
      </w:pPr>
      <w:r>
        <w:rPr>
          <w:b/>
          <w:bCs/>
          <w:color w:val="1F7A6C"/>
          <w:sz w:val="20"/>
          <w:szCs w:val="20"/>
        </w:rPr>
        <w:t xml:space="preserve">→  </w:t>
      </w:r>
      <w:r>
        <w:rPr>
          <w:sz w:val="21"/>
          <w:szCs w:val="21"/>
        </w:rPr>
        <w:t xml:space="preserve">Reports a video if needed — including "I appear in this and didn’t consent"</w:t>
      </w:r>
    </w:p>
    <w:p>
      <w:pPr>
        <w:pStyle w:val="Heading1"/>
      </w:pPr>
      <w:r>
        <w:t xml:space="preserve">2. Admin Journey</w:t>
      </w:r>
    </w:p>
    <w:p>
      <w:pPr>
        <w:spacing w:after="40"/>
      </w:pPr>
      <w:r>
        <w:rPr>
          <w:b/>
          <w:bCs/>
          <w:color w:val="1F7A6C"/>
          <w:sz w:val="20"/>
          <w:szCs w:val="20"/>
        </w:rPr>
        <w:t xml:space="preserve">→  </w:t>
      </w:r>
      <w:r>
        <w:rPr>
          <w:sz w:val="21"/>
          <w:szCs w:val="21"/>
        </w:rPr>
        <w:t xml:space="preserve">Creates a show — title, description, thumbnail, category (or uses the existing "Voice of UPSA TV" flagship show)</w:t>
      </w:r>
    </w:p>
    <w:p>
      <w:pPr>
        <w:spacing w:after="40"/>
      </w:pPr>
      <w:r>
        <w:rPr>
          <w:b/>
          <w:bCs/>
          <w:color w:val="1F7A6C"/>
          <w:sz w:val="20"/>
          <w:szCs w:val="20"/>
        </w:rPr>
        <w:t xml:space="preserve">→  </w:t>
      </w:r>
      <w:r>
        <w:rPr>
          <w:sz w:val="21"/>
          <w:szCs w:val="21"/>
        </w:rPr>
        <w:t xml:space="preserve">Uploads a video — sees duration/size limits upfront before starting the upload</w:t>
      </w:r>
    </w:p>
    <w:p>
      <w:pPr>
        <w:spacing w:after="40"/>
      </w:pPr>
      <w:r>
        <w:rPr>
          <w:b/>
          <w:bCs/>
          <w:color w:val="1F7A6C"/>
          <w:sz w:val="20"/>
          <w:szCs w:val="20"/>
        </w:rPr>
        <w:t xml:space="preserve">→  </w:t>
      </w:r>
      <w:r>
        <w:rPr>
          <w:sz w:val="21"/>
          <w:szCs w:val="21"/>
        </w:rPr>
        <w:t xml:space="preserve">Adds a caption file if available</w:t>
      </w:r>
    </w:p>
    <w:p>
      <w:pPr>
        <w:spacing w:after="40"/>
      </w:pPr>
      <w:r>
        <w:rPr>
          <w:b/>
          <w:bCs/>
          <w:color w:val="1F7A6C"/>
          <w:sz w:val="20"/>
          <w:szCs w:val="20"/>
        </w:rPr>
        <w:t xml:space="preserve">→  </w:t>
      </w:r>
      <w:r>
        <w:rPr>
          <w:sz w:val="21"/>
          <w:szCs w:val="21"/>
        </w:rPr>
        <w:t xml:space="preserve">Publishes — video appears in-browser and in the show’s feed simultaneously, same single-source-of-truth pattern as Podcasts</w:t>
      </w:r>
    </w:p>
    <w:p>
      <w:pPr>
        <w:spacing w:after="40"/>
      </w:pPr>
      <w:r>
        <w:rPr>
          <w:b/>
          <w:bCs/>
          <w:color w:val="C97C1C"/>
          <w:sz w:val="20"/>
          <w:szCs w:val="20"/>
        </w:rPr>
        <w:t xml:space="preserve">❖  </w:t>
      </w:r>
      <w:r>
        <w:rPr>
          <w:sz w:val="21"/>
          <w:szCs w:val="21"/>
        </w:rPr>
        <w:t xml:space="preserve">Resolves reports — consent-based reports reviewed with priority</w:t>
      </w:r>
    </w:p>
    <w:p>
      <w:pPr>
        <w:sectPr>
          <w:headerReference w:type="default" r:id="rId9"/>
          <w:footerReference w:type="default" r:id="rId10"/>
          <w:pgSz w:w="12240" w:h="15840" w:orient="portrait"/>
          <w:pgMar w:top="1080" w:right="1080" w:bottom="1080" w:left="1080" w:header="708" w:footer="708" w:gutter="0"/>
          <w:pgNumType/>
          <w:titlePg w:val="false"/>
          <w:docGrid w:linePitch="360"/>
        </w:sectPr>
      </w:pPr>
    </w:p>
    <w:p>
      <w:pPr>
        <w:pStyle w:val="Heading1"/>
      </w:pPr>
      <w:r>
        <w:t xml:space="preserve">3. Platform Cross-Feature Notes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22831"/>
          <w:sz w:val="21"/>
          <w:szCs w:val="21"/>
        </w:rPr>
        <w:t xml:space="preserve">Continuing the living section from Podcasts.</w:t>
      </w:r>
    </w:p>
    <w:p>
      <w:pPr>
        <w:pStyle w:val="Heading2"/>
      </w:pPr>
      <w:r>
        <w:t xml:space="preserve">3.1 Shared, unchanged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Auth, profiles, Admin shell, design system, Arcjet setup — reused as-is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public.audit_logs — the seventh feature to write into 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The per-show public feed pattern (Route Handler, XML) — identical shape to Podcasts, extended with a video enclosure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Cloudinary’s EXIF/location-stripping preset, reused unchanged from Campus Gallery</w:t>
      </w:r>
    </w:p>
    <w:p>
      <w:pPr>
        <w:pStyle w:val="Heading2"/>
      </w:pPr>
      <w:r>
        <w:t xml:space="preserve">3.2 Diverges from Podcasts here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public.reports IS used by this feature (unlike Podcasts and the Map) — video reintroduces the appears-without-consent risk Campus Gallery identified, even without a submission pipeline (PRD §6)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Cost management is a first-class concern here in a way it wasn’t for audio — upload caps and a documented Cloudinary free-tier upgrade trigger (TDD §6)</w:t>
      </w:r>
    </w:p>
    <w:p>
      <w:pPr>
        <w:pStyle w:val="Heading2"/>
      </w:pPr>
      <w:r>
        <w:t xml:space="preserve">3.3 Still not shared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Notification Centre — same reasoning as Podcasts; no "follow a show" feature exists yet to attach a "new video" alert to</w:t>
      </w:r>
    </w:p>
    <w:p>
      <w:pPr>
        <w:pStyle w:val="Heading2"/>
      </w:pPr>
      <w:r>
        <w:t xml:space="preserve">3.4 Deliberately not built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Live streaming and student-submitted video — both explicitly out of scope (PRD §7), not deferred silently</w:t>
      </w:r>
    </w:p>
    <w:p>
      <w:pPr>
        <w:pStyle w:val="Heading1"/>
      </w:pPr>
      <w:r>
        <w:t xml:space="preserve">4. URL Structure (Phase 1)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480"/>
      </w:tblGrid>
      <w:tr>
        <w:trPr>
          <w:tblHeader/>
        </w:trPr>
        <w:tc>
          <w:tcPr>
            <w:tcW w:type="dxa" w:w="360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648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/video</w:t>
            </w:r>
          </w:p>
        </w:tc>
        <w:tc>
          <w:tcPr>
            <w:tcW w:type="dxa" w:w="64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Video home — flagship show featured, category filter</w:t>
            </w:r>
          </w:p>
        </w:tc>
      </w:tr>
      <w:tr>
        <w:tc>
          <w:tcPr>
            <w:tcW w:type="dxa" w:w="36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/video/[show-slug]</w:t>
            </w:r>
          </w:p>
        </w:tc>
        <w:tc>
          <w:tcPr>
            <w:tcW w:type="dxa" w:w="64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Show page — video grid</w:t>
            </w:r>
          </w:p>
        </w:tc>
      </w:tr>
      <w:tr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/video/[show-slug]/[video-slug]</w:t>
            </w:r>
          </w:p>
        </w:tc>
        <w:tc>
          <w:tcPr>
            <w:tcW w:type="dxa" w:w="64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Video page — player, description, captions</w:t>
            </w:r>
          </w:p>
        </w:tc>
      </w:tr>
      <w:tr>
        <w:tc>
          <w:tcPr>
            <w:tcW w:type="dxa" w:w="36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/video/[show-slug]/feed.xml</w:t>
            </w:r>
          </w:p>
        </w:tc>
        <w:tc>
          <w:tcPr>
            <w:tcW w:type="dxa" w:w="64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Public video feed for the show</w:t>
            </w:r>
          </w:p>
        </w:tc>
      </w:tr>
      <w:tr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/admin/video/shows</w:t>
            </w:r>
          </w:p>
        </w:tc>
        <w:tc>
          <w:tcPr>
            <w:tcW w:type="dxa" w:w="64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Admin show list</w:t>
            </w:r>
          </w:p>
        </w:tc>
      </w:tr>
      <w:tr>
        <w:tc>
          <w:tcPr>
            <w:tcW w:type="dxa" w:w="36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/admin/video/videos/new</w:t>
            </w:r>
          </w:p>
        </w:tc>
        <w:tc>
          <w:tcPr>
            <w:tcW w:type="dxa" w:w="64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Upload video</w:t>
            </w:r>
          </w:p>
        </w:tc>
      </w:tr>
      <w:tr>
        <w:tc>
          <w:tcPr>
            <w:tcW w:type="dxa" w:w="3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/admin/video/reports</w:t>
            </w:r>
          </w:p>
        </w:tc>
        <w:tc>
          <w:tcPr>
            <w:tcW w:type="dxa" w:w="64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Reports, consent-based reasons prioritized</w:t>
            </w:r>
          </w:p>
        </w:tc>
      </w:tr>
    </w:tbl>
    <w:sectPr>
      <w:headerReference w:type="default" r:id="rId11"/>
      <w:footerReference w:type="default" r:id="rId12"/>
      <w:pgSz w:w="12240" w:h="15840" w:orient="portrait"/>
      <w:pgMar w:top="1080" w:right="1080" w:bottom="1080" w:left="1080" w:header="708" w:footer="708" w:gutter="0"/>
      <w:pgNumType/>
      <w:titlePg w:val="fals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5B6572"/>
        <w:sz w:val="16"/>
        <w:szCs w:val="16"/>
      </w:rPr>
      <w:t xml:space="preserve">Codey Dev — internal build spec</w:t>
    </w:r>
    <w:r>
      <w:rPr>
        <w:color w:val="5B6572"/>
        <w:sz w:val="16"/>
        <w:szCs w:val="16"/>
      </w:rPr>
      <w:t xml:space="preserve">	Page </w:t>
    </w:r>
    <w:r>
      <w:rPr>
        <w:color w:val="5B65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572"/>
        <w:sz w:val="16"/>
        <w:szCs w:val="16"/>
      </w:rPr>
      <w:t xml:space="preserve"> of </w:t>
    </w:r>
    <w:r>
      <w:rPr>
        <w:color w:val="5B6572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5B6572"/>
        <w:sz w:val="16"/>
        <w:szCs w:val="16"/>
      </w:rPr>
      <w:t xml:space="preserve">Codey Dev — internal build spec</w:t>
    </w:r>
    <w:r>
      <w:rPr>
        <w:color w:val="5B6572"/>
        <w:sz w:val="16"/>
        <w:szCs w:val="16"/>
      </w:rPr>
      <w:t xml:space="preserve">	Page </w:t>
    </w:r>
    <w:r>
      <w:rPr>
        <w:color w:val="5B65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572"/>
        <w:sz w:val="16"/>
        <w:szCs w:val="16"/>
      </w:rPr>
      <w:t xml:space="preserve"> of </w:t>
    </w:r>
    <w:r>
      <w:rPr>
        <w:color w:val="5B6572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5B6572"/>
        <w:sz w:val="16"/>
        <w:szCs w:val="16"/>
      </w:rPr>
      <w:t xml:space="preserve">Codey Dev — internal build spec</w:t>
    </w:r>
    <w:r>
      <w:rPr>
        <w:color w:val="5B6572"/>
        <w:sz w:val="16"/>
        <w:szCs w:val="16"/>
      </w:rPr>
      <w:t xml:space="preserve">	Page </w:t>
    </w:r>
    <w:r>
      <w:rPr>
        <w:color w:val="5B65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572"/>
        <w:sz w:val="16"/>
        <w:szCs w:val="16"/>
      </w:rPr>
      <w:t xml:space="preserve"> of </w:t>
    </w:r>
    <w:r>
      <w:rPr>
        <w:color w:val="5B6572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DCE2" w:sz="4" w:space="4"/>
      </w:pBdr>
      <w:tabs>
        <w:tab w:val="right" w:pos="9026"/>
      </w:tabs>
    </w:pPr>
    <w:r>
      <w:rPr>
        <w:color w:val="5B6572"/>
        <w:sz w:val="16"/>
        <w:szCs w:val="16"/>
      </w:rPr>
      <w:t xml:space="preserve">Voice of UPSA — Campus Video &amp; Voice of UPSA TV</w:t>
    </w:r>
    <w:r>
      <w:rPr>
        <w:color w:val="5B6572"/>
        <w:sz w:val="16"/>
        <w:szCs w:val="16"/>
      </w:rPr>
      <w:t xml:space="preserve">	App Flow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DCE2" w:sz="4" w:space="4"/>
      </w:pBdr>
      <w:tabs>
        <w:tab w:val="right" w:pos="9026"/>
      </w:tabs>
    </w:pPr>
    <w:r>
      <w:rPr>
        <w:color w:val="5B6572"/>
        <w:sz w:val="16"/>
        <w:szCs w:val="16"/>
      </w:rPr>
      <w:t xml:space="preserve">Voice of UPSA — Campus Video &amp; Voice of UPSA TV</w:t>
    </w:r>
    <w:r>
      <w:rPr>
        <w:color w:val="5B6572"/>
        <w:sz w:val="16"/>
        <w:szCs w:val="16"/>
      </w:rPr>
      <w:t xml:space="preserve">	App Flow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DCE2" w:sz="4" w:space="4"/>
      </w:pBdr>
      <w:tabs>
        <w:tab w:val="right" w:pos="9026"/>
      </w:tabs>
    </w:pPr>
    <w:r>
      <w:rPr>
        <w:color w:val="5B6572"/>
        <w:sz w:val="16"/>
        <w:szCs w:val="16"/>
      </w:rPr>
      <w:t xml:space="preserve">Voice of UPSA — Campus Video &amp; Voice of UPSA TV</w:t>
    </w:r>
    <w:r>
      <w:rPr>
        <w:color w:val="5B6572"/>
        <w:sz w:val="16"/>
        <w:szCs w:val="16"/>
      </w:rPr>
      <w:t xml:space="preserve">	App Flow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59"/>
      </w:pPr>
    </w:lvl>
    <w:lvl w:ilvl="1" w15:tentative="1">
      <w:start w:val="1"/>
      <w:numFmt w:val="bullet"/>
      <w:lvlText w:val="–"/>
      <w:lvlJc w:val="left"/>
      <w:pPr>
        <w:ind w:left="792" w:hanging="259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31" w:hanging="316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83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/>
    </w:pPr>
    <w:rPr>
      <w:rFonts w:ascii="Calibri" w:cs="Calibri" w:eastAsia="Calibri" w:hAnsi="Calibri"/>
      <w:b/>
      <w:bCs/>
      <w:color w:val="1B2A4A"/>
      <w:sz w:val="56"/>
      <w:szCs w:val="56"/>
    </w:rPr>
  </w:style>
  <w:style w:type="paragraph" w:styleId="Subtitle">
    <w:name w:val="Subtitle"/>
    <w:basedOn w:val="Normal"/>
    <w:next w:val="Normal"/>
    <w:pPr>
      <w:spacing w:after="60"/>
    </w:pPr>
    <w:rPr>
      <w:rFonts w:ascii="Calibri" w:cs="Calibri" w:eastAsia="Calibri" w:hAnsi="Calibri"/>
      <w:color w:val="5B6572"/>
      <w:sz w:val="26"/>
      <w:szCs w:val="26"/>
    </w:rPr>
  </w:style>
  <w:style w:type="paragraph" w:styleId="Heading1">
    <w:name w:val="Heading 1"/>
    <w:basedOn w:val="Normal"/>
    <w:next w:val="Normal"/>
    <w:qFormat/>
    <w:pPr>
      <w:pBdr>
        <w:bottom w:val="single" w:color="1B2A4A" w:sz="6" w:space="4"/>
      </w:pBdr>
      <w:spacing w:after="160" w:before="360"/>
    </w:pPr>
    <w:rPr>
      <w:rFonts w:ascii="Calibri" w:cs="Calibri" w:eastAsia="Calibri" w:hAnsi="Calibri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60"/>
    </w:pPr>
    <w:rPr>
      <w:rFonts w:ascii="Calibri" w:cs="Calibri" w:eastAsia="Calibri" w:hAnsi="Calibri"/>
      <w:b/>
      <w:bCs/>
      <w:color w:val="1F7A6C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</w:pPr>
    <w:rPr>
      <w:rFonts w:ascii="Calibri" w:cs="Calibri" w:eastAsia="Calibri" w:hAnsi="Calibri"/>
      <w:b/>
      <w:bCs/>
      <w:color w:val="22283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2026-09-27T19:05:57.939Z</dcterms:created>
  <dcterms:modified xsi:type="dcterms:W3CDTF">2026-09-27T19:05:57.939Z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