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  <Override ContentType="application/vnd.openxmlformats-officedocument.wordprocessingml.header+xml" PartName="/word/header4.xml"/>
  <Override ContentType="application/vnd.openxmlformats-officedocument.wordprocessingml.footer+xml" PartName="/word/footer4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  <w:r>
        <w:rPr>
          <w:b/>
          <w:bCs/>
          <w:color w:val="1F7A6C"/>
          <w:spacing w:val="20"/>
          <w:sz w:val="22"/>
          <w:szCs w:val="22"/>
        </w:rPr>
        <w:t xml:space="preserve">TECHNICAL DESIGN DOCUMENT</w:t>
      </w:r>
    </w:p>
    <w:p>
      <w:pPr>
        <w:pStyle w:val="Title"/>
        <w:spacing w:after="120" w:before="160"/>
      </w:pPr>
      <w:r>
        <w:rPr>
          <w:b/>
          <w:bCs/>
          <w:color w:val="1B2A4A"/>
          <w:sz w:val="56"/>
          <w:szCs w:val="56"/>
        </w:rPr>
        <w:t xml:space="preserve">Notification Centre</w:t>
      </w:r>
    </w:p>
    <w:p>
      <w:pPr>
        <w:pStyle w:val="Subtitle"/>
      </w:pPr>
      <w:r>
        <w:rPr>
          <w:color w:val="5B6572"/>
          <w:sz w:val="26"/>
          <w:szCs w:val="26"/>
        </w:rPr>
        <w:t xml:space="preserve">Architecture, security, and API design — Phase 1</w:t>
      </w:r>
    </w:p>
    <w:p>
      <w:pPr>
        <w:pBdr>
          <w:bottom w:val="single" w:color="D8DCE2" w:sz="4" w:space="1"/>
        </w:pBdr>
        <w:spacing w:after="200" w:before="100"/>
      </w:pPr>
      <w:r>
        <w:t xml:space="preserve"/>
      </w:r>
    </w:p>
    <w:p>
      <w:pPr>
        <w:spacing w:after="60"/>
      </w:pPr>
      <w:r>
        <w:rPr>
          <w:b/>
          <w:bCs/>
          <w:color w:val="5B6572"/>
          <w:sz w:val="19"/>
          <w:szCs w:val="19"/>
        </w:rPr>
        <w:t xml:space="preserve">Prepared for:  </w:t>
      </w:r>
      <w:r>
        <w:rPr>
          <w:color w:val="222831"/>
          <w:sz w:val="19"/>
          <w:szCs w:val="19"/>
        </w:rPr>
        <w:t xml:space="preserve">Voice of UPSA</w:t>
      </w:r>
    </w:p>
    <w:p>
      <w:pPr>
        <w:spacing w:after="60"/>
      </w:pPr>
      <w:r>
        <w:rPr>
          <w:b/>
          <w:bCs/>
          <w:color w:val="5B6572"/>
          <w:sz w:val="19"/>
          <w:szCs w:val="19"/>
        </w:rPr>
        <w:t xml:space="preserve">Prepared by:  </w:t>
      </w:r>
      <w:r>
        <w:rPr>
          <w:color w:val="222831"/>
          <w:sz w:val="19"/>
          <w:szCs w:val="19"/>
        </w:rPr>
        <w:t xml:space="preserve">Codey Dev — Aka Brown</w:t>
      </w:r>
    </w:p>
    <w:p>
      <w:pPr>
        <w:spacing w:after="60"/>
      </w:pPr>
      <w:r>
        <w:rPr>
          <w:b/>
          <w:bCs/>
          <w:color w:val="5B6572"/>
          <w:sz w:val="19"/>
          <w:szCs w:val="19"/>
        </w:rPr>
        <w:t xml:space="preserve">Version:  </w:t>
      </w:r>
      <w:r>
        <w:rPr>
          <w:color w:val="222831"/>
          <w:sz w:val="19"/>
          <w:szCs w:val="19"/>
        </w:rPr>
        <w:t xml:space="preserve">1.0</w:t>
      </w:r>
    </w:p>
    <w:p>
      <w:pPr>
        <w:spacing w:after="60"/>
      </w:pPr>
      <w:r>
        <w:rPr>
          <w:b/>
          <w:bCs/>
          <w:color w:val="5B6572"/>
          <w:sz w:val="19"/>
          <w:szCs w:val="19"/>
        </w:rPr>
        <w:t xml:space="preserve">Repo structure:  </w:t>
      </w:r>
      <w:r>
        <w:rPr>
          <w:color w:val="222831"/>
          <w:sz w:val="19"/>
          <w:szCs w:val="19"/>
        </w:rPr>
        <w:t xml:space="preserve">Lives directly in the shared platform layer, not a feature schema (Section 1) — every existing feature becomes a caller, not an owner</w:t>
      </w:r>
    </w:p>
    <w:p>
      <w:r>
        <w:br w:type="page"/>
      </w:r>
    </w:p>
    <w:p>
      <w:pPr>
        <w:sectPr>
          <w:pgSz w:w="12240" w:h="15840" w:orient="portrait"/>
          <w:pgMar w:top="1080" w:right="1080" w:bottom="1080" w:left="1080" w:header="708" w:footer="708" w:gutter="0"/>
          <w:pgNumType/>
          <w:titlePg/>
          <w:docGrid w:linePitch="360"/>
        </w:sectPr>
      </w:pP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sectPr>
          <w:headerReference w:type="default" r:id="rId7"/>
          <w:footerReference w:type="default" r:id="rId8"/>
          <w:pgSz w:w="12240" w:h="15840" w:orient="portrait"/>
          <w:pgMar w:top="1080" w:right="1080" w:bottom="1080" w:left="1080" w:header="708" w:footer="708" w:gutter="0"/>
          <w:pgNumType/>
          <w:titlePg w:val="false"/>
          <w:docGrid w:linePitch="360"/>
        </w:sectPr>
      </w:pPr>
    </w:p>
    <w:p>
      <w:pPr>
        <w:pStyle w:val="Heading1"/>
      </w:pPr>
      <w:r>
        <w:t xml:space="preserve">1. Architecture Overview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222831"/>
          <w:sz w:val="21"/>
          <w:szCs w:val="21"/>
        </w:rPr>
        <w:t xml:space="preserve">Unlike every feature so far, this has no meaningful feature-local tables of its own — it is the shared table. There is exactly one write path: a single server-side function, notify(), that every other feature calls. No feature ever inserts into the notifications table directly.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4200"/>
        <w:gridCol w:w="3780"/>
      </w:tblGrid>
      <w:tr>
        <w:trPr>
          <w:tblHeader/>
        </w:trPr>
        <w:tc>
          <w:tcPr>
            <w:tcW w:type="dxa" w:w="210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420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Choice</w:t>
            </w:r>
          </w:p>
        </w:tc>
        <w:tc>
          <w:tcPr>
            <w:tcW w:type="dxa" w:w="378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Frontend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Next.js (App Router) + TypeScript + Tailwind + shadcn/ui</w:t>
            </w:r>
          </w:p>
        </w:tc>
        <w:tc>
          <w:tcPr>
            <w:tcW w:type="dxa" w:w="37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Bell icon + panel in the shared header, available on every page</w:t>
            </w:r>
          </w:p>
        </w:tc>
      </w:tr>
      <w:tr>
        <w:tc>
          <w:tcPr>
            <w:tcW w:type="dxa" w:w="21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Data fetching</w:t>
            </w:r>
          </w:p>
        </w:tc>
        <w:tc>
          <w:tcPr>
            <w:tcW w:type="dxa" w:w="42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TanStack Query</w:t>
            </w:r>
          </w:p>
        </w:tc>
        <w:tc>
          <w:tcPr>
            <w:tcW w:type="dxa" w:w="378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Notification list and unread count</w:t>
            </w:r>
          </w:p>
        </w:tc>
      </w:tr>
      <w:tr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Backend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Next.js Server Actions + Supabase (Postgres, Auth, Realtime)</w:t>
            </w:r>
          </w:p>
        </w:tc>
        <w:tc>
          <w:tcPr>
            <w:tcW w:type="dxa" w:w="37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Realtime pushes new notifications and unread-count updates to an open session</w:t>
            </w:r>
          </w:p>
        </w:tc>
      </w:tr>
      <w:tr>
        <w:tc>
          <w:tcPr>
            <w:tcW w:type="dxa" w:w="21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Validation</w:t>
            </w:r>
          </w:p>
        </w:tc>
        <w:tc>
          <w:tcPr>
            <w:tcW w:type="dxa" w:w="42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Zod</w:t>
            </w:r>
          </w:p>
        </w:tc>
        <w:tc>
          <w:tcPr>
            <w:tcW w:type="dxa" w:w="378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Shared schema for the notify() function’s payload shape per type</w:t>
            </w:r>
          </w:p>
        </w:tc>
      </w:tr>
      <w:tr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Caching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None (deliberate)</w:t>
            </w:r>
          </w:p>
        </w:tc>
        <w:tc>
          <w:tcPr>
            <w:tcW w:type="dxa" w:w="37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Unread count is solved with a well-indexed query, not Redis — this is private per-user data checked on nearly every page load, and a cache layer here would add invalidation complexity for a query that’s already cheap (Section 6)</w:t>
            </w:r>
          </w:p>
        </w:tc>
      </w:tr>
      <w:tr>
        <w:tc>
          <w:tcPr>
            <w:tcW w:type="dxa" w:w="21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Abuse protection</w:t>
            </w:r>
          </w:p>
        </w:tc>
        <w:tc>
          <w:tcPr>
            <w:tcW w:type="dxa" w:w="42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Arcjet</w:t>
            </w:r>
          </w:p>
        </w:tc>
        <w:tc>
          <w:tcPr>
            <w:tcW w:type="dxa" w:w="378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Rate limiting on the internal notify() call path itself, not just user-facing endpoints — a bug in a calling feature should not be able to flood a student with notifications</w:t>
            </w:r>
          </w:p>
        </w:tc>
      </w:tr>
      <w:tr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Deployment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Vercel</w:t>
            </w:r>
          </w:p>
        </w:tc>
        <w:tc>
          <w:tcPr>
            <w:tcW w:type="dxa" w:w="37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Same project as the rest of Voice of UPSA</w:t>
            </w:r>
          </w:p>
        </w:tc>
      </w:tr>
    </w:tbl>
    <w:p>
      <w:pPr>
        <w:pStyle w:val="Heading1"/>
      </w:pPr>
      <w:r>
        <w:t xml:space="preserve">2. Roles &amp; Permission Matrix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100"/>
        <w:gridCol w:w="2100"/>
        <w:gridCol w:w="2280"/>
      </w:tblGrid>
      <w:tr>
        <w:trPr>
          <w:tblHeader/>
        </w:trPr>
        <w:tc>
          <w:tcPr>
            <w:tcW w:type="dxa" w:w="260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Resource</w:t>
            </w:r>
          </w:p>
        </w:tc>
        <w:tc>
          <w:tcPr>
            <w:tcW w:type="dxa" w:w="210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User</w:t>
            </w:r>
          </w:p>
        </w:tc>
        <w:tc>
          <w:tcPr>
            <w:tcW w:type="dxa" w:w="210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Admin</w:t>
            </w:r>
          </w:p>
        </w:tc>
        <w:tc>
          <w:tcPr>
            <w:tcW w:type="dxa" w:w="228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Feature server code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Own notifications (read)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 special access</w:t>
            </w:r>
          </w:p>
        </w:tc>
        <w:tc>
          <w:tcPr>
            <w:tcW w:type="dxa" w:w="22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n/a</w:t>
            </w:r>
          </w:p>
        </w:tc>
      </w:tr>
      <w:tr>
        <w:tc>
          <w:tcPr>
            <w:tcW w:type="dxa" w:w="26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Any other user’s notifications</w:t>
            </w:r>
          </w:p>
        </w:tc>
        <w:tc>
          <w:tcPr>
            <w:tcW w:type="dxa" w:w="21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21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228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n/a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Mark read / mark all read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Own only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n/a</w:t>
            </w:r>
          </w:p>
        </w:tc>
        <w:tc>
          <w:tcPr>
            <w:tcW w:type="dxa" w:w="22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n/a</w:t>
            </w:r>
          </w:p>
        </w:tc>
      </w:tr>
      <w:tr>
        <w:tc>
          <w:tcPr>
            <w:tcW w:type="dxa" w:w="26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Notification preferences (mute)</w:t>
            </w:r>
          </w:p>
        </w:tc>
        <w:tc>
          <w:tcPr>
            <w:tcW w:type="dxa" w:w="21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Own only</w:t>
            </w:r>
          </w:p>
        </w:tc>
        <w:tc>
          <w:tcPr>
            <w:tcW w:type="dxa" w:w="21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n/a</w:t>
            </w:r>
          </w:p>
        </w:tc>
        <w:tc>
          <w:tcPr>
            <w:tcW w:type="dxa" w:w="228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n/a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Trigger a notification (notify())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22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 — the only write path into the table (Section 4)</w:t>
            </w:r>
          </w:p>
        </w:tc>
      </w:tr>
    </w:tbl>
    <w:p>
      <w:pPr>
        <w:sectPr>
          <w:headerReference w:type="default" r:id="rId9"/>
          <w:footerReference w:type="default" r:id="rId10"/>
          <w:pgSz w:w="12240" w:h="15840" w:orient="portrait"/>
          <w:pgMar w:top="1080" w:right="1080" w:bottom="1080" w:left="1080" w:header="708" w:footer="708" w:gutter="0"/>
          <w:pgNumType/>
          <w:titlePg w:val="false"/>
          <w:docGrid w:linePitch="360"/>
        </w:sectPr>
      </w:pPr>
    </w:p>
    <w:p>
      <w:pPr>
        <w:pStyle w:val="Heading1"/>
      </w:pPr>
      <w:r>
        <w:t xml:space="preserve">3. Threat Model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3960"/>
        <w:gridCol w:w="5560"/>
      </w:tblGrid>
      <w:tr>
        <w:trPr>
          <w:tblHeader/>
        </w:trPr>
        <w:tc>
          <w:tcPr>
            <w:tcW w:type="dxa" w:w="56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96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Threat</w:t>
            </w:r>
          </w:p>
        </w:tc>
        <w:tc>
          <w:tcPr>
            <w:tcW w:type="dxa" w:w="556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Mitigation</w:t>
            </w:r>
          </w:p>
        </w:tc>
      </w:tr>
      <w:tr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T1</w:t>
            </w:r>
          </w:p>
        </w:tc>
        <w:tc>
          <w:tcPr>
            <w:tcW w:type="dxa" w:w="39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 student reads or marks-read another student’s notifications (IDOR)</w:t>
            </w:r>
          </w:p>
        </w:tc>
        <w:tc>
          <w:tcPr>
            <w:tcW w:type="dxa" w:w="55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RLS keyed to recipient_id = auth.uid() for every read and update; enforced at the database layer, not just hidden in the UI</w:t>
            </w:r>
          </w:p>
        </w:tc>
      </w:tr>
      <w:tr>
        <w:tc>
          <w:tcPr>
            <w:tcW w:type="dxa" w:w="56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T2</w:t>
            </w:r>
          </w:p>
        </w:tc>
        <w:tc>
          <w:tcPr>
            <w:tcW w:type="dxa" w:w="396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 buggy or malicious feature floods a student with notifications</w:t>
            </w:r>
          </w:p>
        </w:tc>
        <w:tc>
          <w:tcPr>
            <w:tcW w:type="dxa" w:w="556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notify() itself is rate-limited per (recipient, type) — the abuse control lives in the shared function every feature must go through, not something each caller has to remember to add</w:t>
            </w:r>
          </w:p>
        </w:tc>
      </w:tr>
      <w:tr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T3</w:t>
            </w:r>
          </w:p>
        </w:tc>
        <w:tc>
          <w:tcPr>
            <w:tcW w:type="dxa" w:w="39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An unrecognized or malformed notification type crashes or breaks the shared panel for every feature, not just the one that sent it</w:t>
            </w:r>
          </w:p>
        </w:tc>
        <w:tc>
          <w:tcPr>
            <w:tcW w:type="dxa" w:w="55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The panel renders via a type→component registry with a mandatory generic fallback — an unknown type always renders as plain text with a timestamp rather than failing (PRD §4.1)</w:t>
            </w:r>
          </w:p>
        </w:tc>
      </w:tr>
      <w:tr>
        <w:tc>
          <w:tcPr>
            <w:tcW w:type="dxa" w:w="56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T4</w:t>
            </w:r>
          </w:p>
        </w:tc>
        <w:tc>
          <w:tcPr>
            <w:tcW w:type="dxa" w:w="396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 notification payload leaks more than the recipient should see — most sensitively, anything that could help deanonymize an Anonymous Confessions/Opinions post</w:t>
            </w:r>
          </w:p>
        </w:tc>
        <w:tc>
          <w:tcPr>
            <w:tcW w:type="dxa" w:w="556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Each feature’s Zod payload schema for its own notification types is reviewed at the point that feature integrates — Confessions’ schema is deliberately minimal (decision + reason only, no author-identifying data, no post body echoed back) as a concrete, already-applied example</w:t>
            </w:r>
          </w:p>
        </w:tc>
      </w:tr>
      <w:tr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T5</w:t>
            </w:r>
          </w:p>
        </w:tc>
        <w:tc>
          <w:tcPr>
            <w:tcW w:type="dxa" w:w="39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 feature writes directly to the notifications table, bypassing notify() and its rate limiting/validation</w:t>
            </w:r>
          </w:p>
        </w:tc>
        <w:tc>
          <w:tcPr>
            <w:tcW w:type="dxa" w:w="55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INSERT grant on public.notifications exists only for the notify() function’s execution context (a Postgres function with SECURITY DEFINER), not for the general application role — there is no other path in</w:t>
            </w:r>
          </w:p>
        </w:tc>
      </w:tr>
    </w:tbl>
    <w:p>
      <w:pPr>
        <w:sectPr>
          <w:headerReference w:type="default" r:id="rId11"/>
          <w:footerReference w:type="default" r:id="rId12"/>
          <w:pgSz w:w="12240" w:h="15840" w:orient="portrait"/>
          <w:pgMar w:top="1080" w:right="1080" w:bottom="1080" w:left="1080" w:header="708" w:footer="708" w:gutter="0"/>
          <w:pgNumType/>
          <w:titlePg w:val="false"/>
          <w:docGrid w:linePitch="360"/>
        </w:sectPr>
      </w:pPr>
    </w:p>
    <w:p>
      <w:pPr>
        <w:pStyle w:val="Heading1"/>
      </w:pPr>
      <w:r>
        <w:t xml:space="preserve">4. API Surface (Phase 1)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800"/>
        <w:gridCol w:w="3680"/>
      </w:tblGrid>
      <w:tr>
        <w:trPr>
          <w:tblHeader/>
        </w:trPr>
        <w:tc>
          <w:tcPr>
            <w:tcW w:type="dxa" w:w="260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380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Input</w:t>
            </w:r>
          </w:p>
        </w:tc>
        <w:tc>
          <w:tcPr>
            <w:tcW w:type="dxa" w:w="368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getNotifications</w:t>
            </w:r>
          </w:p>
        </w:tc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cursor, unread_only</w:t>
            </w:r>
          </w:p>
        </w:tc>
        <w:tc>
          <w:tcPr>
            <w:tcW w:type="dxa" w:w="36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Own notifications only (T1)</w:t>
            </w:r>
          </w:p>
        </w:tc>
      </w:tr>
      <w:tr>
        <w:tc>
          <w:tcPr>
            <w:tcW w:type="dxa" w:w="26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getUnreadCount</w:t>
            </w:r>
          </w:p>
        </w:tc>
        <w:tc>
          <w:tcPr>
            <w:tcW w:type="dxa" w:w="38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W w:type="dxa" w:w="368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Indexed, not cached (Section 6)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markRead</w:t>
            </w:r>
          </w:p>
        </w:tc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notification_id</w:t>
            </w:r>
          </w:p>
        </w:tc>
        <w:tc>
          <w:tcPr>
            <w:tcW w:type="dxa" w:w="36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Owner only</w:t>
            </w:r>
          </w:p>
        </w:tc>
      </w:tr>
      <w:tr>
        <w:tc>
          <w:tcPr>
            <w:tcW w:type="dxa" w:w="26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markAllRead</w:t>
            </w:r>
          </w:p>
        </w:tc>
        <w:tc>
          <w:tcPr>
            <w:tcW w:type="dxa" w:w="38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W w:type="dxa" w:w="368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Owner only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updatePreference</w:t>
            </w:r>
          </w:p>
        </w:tc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category, muted</w:t>
            </w:r>
          </w:p>
        </w:tc>
        <w:tc>
          <w:tcPr>
            <w:tcW w:type="dxa" w:w="36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Owner only</w:t>
            </w:r>
          </w:p>
        </w:tc>
      </w:tr>
      <w:tr>
        <w:tc>
          <w:tcPr>
            <w:tcW w:type="dxa" w:w="26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notify() (internal, server-only)</w:t>
            </w:r>
          </w:p>
        </w:tc>
        <w:tc>
          <w:tcPr>
            <w:tcW w:type="dxa" w:w="38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recipient_id, type, payload</w:t>
            </w:r>
          </w:p>
        </w:tc>
        <w:tc>
          <w:tcPr>
            <w:tcW w:type="dxa" w:w="368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The only write path (T5); called by Campus Mart, the Job Board, Gallery, and Confessions’ own server actions — never called from the client</w:t>
            </w:r>
          </w:p>
        </w:tc>
      </w:tr>
    </w:tbl>
    <w:p>
      <w:pPr>
        <w:pStyle w:val="Heading1"/>
      </w:pPr>
      <w:r>
        <w:t xml:space="preserve">5. Data Integrity</w:t>
      </w:r>
    </w:p>
    <w:p>
      <w:pPr>
        <w:pStyle w:val="Heading3"/>
      </w:pPr>
      <w:r>
        <w:t xml:space="preserve">5.1 notify() is the sole write path</w:t>
      </w:r>
    </w:p>
    <w:p>
      <w:pPr>
        <w:shd w:fill="F4F6F8" w:val="clear"/>
        <w:spacing w:after="0" w:before="80"/>
      </w:pPr>
      <w:r>
        <w:rPr>
          <w:rFonts w:ascii="Consolas" w:cs="Consolas" w:eastAsia="Consolas" w:hAnsi="Consolas"/>
          <w:sz w:val="18"/>
          <w:szCs w:val="18"/>
        </w:rPr>
        <w:t xml:space="preserve">notify(recipient_id, type, payload):</w:t>
      </w:r>
    </w:p>
    <w:p>
      <w:pPr>
        <w:shd w:fill="F4F6F8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validate payload against the Zod schema registered for `type`</w:t>
      </w:r>
    </w:p>
    <w:p>
      <w:pPr>
        <w:shd w:fill="F4F6F8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check recipient category-mute preference — skip insert if muted</w:t>
      </w:r>
    </w:p>
    <w:p>
      <w:pPr>
        <w:shd w:fill="F4F6F8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rate-limit check on (recipient_id, type)</w:t>
      </w:r>
    </w:p>
    <w:p>
      <w:pPr>
        <w:shd w:fill="F4F6F8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INSERT into public.notifications</w:t>
      </w:r>
    </w:p>
    <w:p>
      <w:pPr>
        <w:shd w:fill="F4F6F8" w:val="clear"/>
        <w:spacing w:after="200" w:before="0"/>
      </w:pPr>
      <w:r>
        <w:rPr>
          <w:rFonts w:ascii="Consolas" w:cs="Consolas" w:eastAsia="Consolas" w:hAnsi="Consolas"/>
          <w:sz w:val="18"/>
          <w:szCs w:val="18"/>
        </w:rPr>
        <w:t xml:space="preserve">  push via Supabase Realtime to the recipient’s open session, if any</w:t>
      </w:r>
    </w:p>
    <w:p>
      <w:pPr>
        <w:pStyle w:val="Heading3"/>
      </w:pPr>
      <w:r>
        <w:t xml:space="preserve">5.2 Read state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222831"/>
          <w:sz w:val="21"/>
          <w:szCs w:val="21"/>
        </w:rPr>
        <w:t xml:space="preserve">read_at is set once and never cleared — there is no "mark unread" action in Phase 1, keeping the state machine trivial (unread → read, one direction only).</w:t>
      </w:r>
    </w:p>
    <w:p>
      <w:pPr>
        <w:pStyle w:val="Heading3"/>
      </w:pPr>
      <w:r>
        <w:t xml:space="preserve">5.3 Retention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222831"/>
          <w:sz w:val="21"/>
          <w:szCs w:val="21"/>
        </w:rPr>
        <w:t xml:space="preserve">Unlike audit_logs and reports, notifications are not part of the trust-and-safety trail — the underlying moderation action already lives in audit_logs; a notification is just a courtesy copy to the recipient. A Phase 2 cleanup job removing read notifications older than 90 days is a reasonable addition later; Phase 1 simply accumulates, which is fine at current scale.</w:t>
      </w:r>
    </w:p>
    <w:p>
      <w:pPr>
        <w:pStyle w:val="Heading1"/>
      </w:pPr>
      <w:r>
        <w:t xml:space="preserve">6. Performance Strategy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831"/>
          <w:sz w:val="21"/>
          <w:szCs w:val="21"/>
        </w:rPr>
        <w:t xml:space="preserve">Unread count: a single indexed query (WHERE recipient_id = ? AND read_at IS NULL), fast enough on every page load without a cache layer — deliberately not using Redis here, in contrast to the Directory and Map’s public-data caching, because this is private per-user data where cache invalidation would cost more than the query itself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831"/>
          <w:sz w:val="21"/>
          <w:szCs w:val="21"/>
        </w:rPr>
        <w:t xml:space="preserve">Cursor-based pagination on the notification list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831"/>
          <w:sz w:val="21"/>
          <w:szCs w:val="21"/>
        </w:rPr>
        <w:t xml:space="preserve">Realtime push for new notifications avoids polling entirely for an open session</w:t>
      </w:r>
    </w:p>
    <w:sectPr>
      <w:headerReference w:type="default" r:id="rId13"/>
      <w:footerReference w:type="default" r:id="rId14"/>
      <w:pgSz w:w="12240" w:h="15840" w:orient="portrait"/>
      <w:pgMar w:top="1080" w:right="1080" w:bottom="1080" w:left="1080" w:header="708" w:footer="708" w:gutter="0"/>
      <w:pgNumType/>
      <w:titlePg w:val="false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5B6572"/>
        <w:sz w:val="16"/>
        <w:szCs w:val="16"/>
      </w:rPr>
      <w:t xml:space="preserve">Codey Dev — internal build spec</w:t>
    </w:r>
    <w:r>
      <w:rPr>
        <w:color w:val="5B6572"/>
        <w:sz w:val="16"/>
        <w:szCs w:val="16"/>
      </w:rPr>
      <w:t xml:space="preserve">	Page </w:t>
    </w:r>
    <w:r>
      <w:rPr>
        <w:color w:val="5B6572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B6572"/>
        <w:sz w:val="16"/>
        <w:szCs w:val="16"/>
      </w:rPr>
      <w:t xml:space="preserve"> of </w:t>
    </w:r>
    <w:r>
      <w:rPr>
        <w:color w:val="5B6572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5B6572"/>
        <w:sz w:val="16"/>
        <w:szCs w:val="16"/>
      </w:rPr>
      <w:t xml:space="preserve">Codey Dev — internal build spec</w:t>
    </w:r>
    <w:r>
      <w:rPr>
        <w:color w:val="5B6572"/>
        <w:sz w:val="16"/>
        <w:szCs w:val="16"/>
      </w:rPr>
      <w:t xml:space="preserve">	Page </w:t>
    </w:r>
    <w:r>
      <w:rPr>
        <w:color w:val="5B6572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B6572"/>
        <w:sz w:val="16"/>
        <w:szCs w:val="16"/>
      </w:rPr>
      <w:t xml:space="preserve"> of </w:t>
    </w:r>
    <w:r>
      <w:rPr>
        <w:color w:val="5B6572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5B6572"/>
        <w:sz w:val="16"/>
        <w:szCs w:val="16"/>
      </w:rPr>
      <w:t xml:space="preserve">Codey Dev — internal build spec</w:t>
    </w:r>
    <w:r>
      <w:rPr>
        <w:color w:val="5B6572"/>
        <w:sz w:val="16"/>
        <w:szCs w:val="16"/>
      </w:rPr>
      <w:t xml:space="preserve">	Page </w:t>
    </w:r>
    <w:r>
      <w:rPr>
        <w:color w:val="5B6572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B6572"/>
        <w:sz w:val="16"/>
        <w:szCs w:val="16"/>
      </w:rPr>
      <w:t xml:space="preserve"> of </w:t>
    </w:r>
    <w:r>
      <w:rPr>
        <w:color w:val="5B6572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5B6572"/>
        <w:sz w:val="16"/>
        <w:szCs w:val="16"/>
      </w:rPr>
      <w:t xml:space="preserve">Codey Dev — internal build spec</w:t>
    </w:r>
    <w:r>
      <w:rPr>
        <w:color w:val="5B6572"/>
        <w:sz w:val="16"/>
        <w:szCs w:val="16"/>
      </w:rPr>
      <w:t xml:space="preserve">	Page </w:t>
    </w:r>
    <w:r>
      <w:rPr>
        <w:color w:val="5B6572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B6572"/>
        <w:sz w:val="16"/>
        <w:szCs w:val="16"/>
      </w:rPr>
      <w:t xml:space="preserve"> of </w:t>
    </w:r>
    <w:r>
      <w:rPr>
        <w:color w:val="5B6572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DCE2" w:sz="4" w:space="4"/>
      </w:pBdr>
      <w:tabs>
        <w:tab w:val="right" w:pos="9026"/>
      </w:tabs>
    </w:pPr>
    <w:r>
      <w:rPr>
        <w:color w:val="5B6572"/>
        <w:sz w:val="16"/>
        <w:szCs w:val="16"/>
      </w:rPr>
      <w:t xml:space="preserve">Voice of UPSA — Notification Centre</w:t>
    </w:r>
    <w:r>
      <w:rPr>
        <w:color w:val="5B6572"/>
        <w:sz w:val="16"/>
        <w:szCs w:val="16"/>
      </w:rPr>
      <w:t xml:space="preserve">	Technical Design Document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DCE2" w:sz="4" w:space="4"/>
      </w:pBdr>
      <w:tabs>
        <w:tab w:val="right" w:pos="9026"/>
      </w:tabs>
    </w:pPr>
    <w:r>
      <w:rPr>
        <w:color w:val="5B6572"/>
        <w:sz w:val="16"/>
        <w:szCs w:val="16"/>
      </w:rPr>
      <w:t xml:space="preserve">Voice of UPSA — Notification Centre</w:t>
    </w:r>
    <w:r>
      <w:rPr>
        <w:color w:val="5B6572"/>
        <w:sz w:val="16"/>
        <w:szCs w:val="16"/>
      </w:rPr>
      <w:t xml:space="preserve">	Technical Design Document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DCE2" w:sz="4" w:space="4"/>
      </w:pBdr>
      <w:tabs>
        <w:tab w:val="right" w:pos="9026"/>
      </w:tabs>
    </w:pPr>
    <w:r>
      <w:rPr>
        <w:color w:val="5B6572"/>
        <w:sz w:val="16"/>
        <w:szCs w:val="16"/>
      </w:rPr>
      <w:t xml:space="preserve">Voice of UPSA — Notification Centre</w:t>
    </w:r>
    <w:r>
      <w:rPr>
        <w:color w:val="5B6572"/>
        <w:sz w:val="16"/>
        <w:szCs w:val="16"/>
      </w:rPr>
      <w:t xml:space="preserve">	Technical Design Document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DCE2" w:sz="4" w:space="4"/>
      </w:pBdr>
      <w:tabs>
        <w:tab w:val="right" w:pos="9026"/>
      </w:tabs>
    </w:pPr>
    <w:r>
      <w:rPr>
        <w:color w:val="5B6572"/>
        <w:sz w:val="16"/>
        <w:szCs w:val="16"/>
      </w:rPr>
      <w:t xml:space="preserve">Voice of UPSA — Notification Centre</w:t>
    </w:r>
    <w:r>
      <w:rPr>
        <w:color w:val="5B6572"/>
        <w:sz w:val="16"/>
        <w:szCs w:val="16"/>
      </w:rPr>
      <w:t xml:space="preserve">	Technical Design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3" w:hanging="259"/>
      </w:pPr>
    </w:lvl>
    <w:lvl w:ilvl="1" w15:tentative="1">
      <w:start w:val="1"/>
      <w:numFmt w:val="bullet"/>
      <w:lvlText w:val="–"/>
      <w:lvlJc w:val="left"/>
      <w:pPr>
        <w:ind w:left="792" w:hanging="259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31" w:hanging="316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83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120"/>
    </w:pPr>
    <w:rPr>
      <w:rFonts w:ascii="Calibri" w:cs="Calibri" w:eastAsia="Calibri" w:hAnsi="Calibri"/>
      <w:b/>
      <w:bCs/>
      <w:color w:val="1B2A4A"/>
      <w:sz w:val="56"/>
      <w:szCs w:val="56"/>
    </w:rPr>
  </w:style>
  <w:style w:type="paragraph" w:styleId="Subtitle">
    <w:name w:val="Subtitle"/>
    <w:basedOn w:val="Normal"/>
    <w:next w:val="Normal"/>
    <w:pPr>
      <w:spacing w:after="60"/>
    </w:pPr>
    <w:rPr>
      <w:rFonts w:ascii="Calibri" w:cs="Calibri" w:eastAsia="Calibri" w:hAnsi="Calibri"/>
      <w:color w:val="5B6572"/>
      <w:sz w:val="26"/>
      <w:szCs w:val="26"/>
    </w:rPr>
  </w:style>
  <w:style w:type="paragraph" w:styleId="Heading1">
    <w:name w:val="Heading 1"/>
    <w:basedOn w:val="Normal"/>
    <w:next w:val="Normal"/>
    <w:qFormat/>
    <w:pPr>
      <w:pBdr>
        <w:bottom w:val="single" w:color="1B2A4A" w:sz="6" w:space="4"/>
      </w:pBdr>
      <w:spacing w:after="160" w:before="360"/>
    </w:pPr>
    <w:rPr>
      <w:rFonts w:ascii="Calibri" w:cs="Calibri" w:eastAsia="Calibri" w:hAnsi="Calibri"/>
      <w:b/>
      <w:bCs/>
      <w:color w:val="1B2A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60"/>
    </w:pPr>
    <w:rPr>
      <w:rFonts w:ascii="Calibri" w:cs="Calibri" w:eastAsia="Calibri" w:hAnsi="Calibri"/>
      <w:b/>
      <w:bCs/>
      <w:color w:val="1F7A6C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</w:pPr>
    <w:rPr>
      <w:rFonts w:ascii="Calibri" w:cs="Calibri" w:eastAsia="Calibri" w:hAnsi="Calibri"/>
      <w:b/>
      <w:bCs/>
      <w:color w:val="22283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header" Target="header4.xml"/><Relationship Id="rId14" Type="http://schemas.openxmlformats.org/officeDocument/2006/relationships/footer" Target="footer4.xml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2026-09-27T03:38:43.885Z</dcterms:created>
  <dcterms:modified xsi:type="dcterms:W3CDTF">2026-09-27T03:38:43.885Z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