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BACKEND SCHEMA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Push Notifications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Database design — as delivered in supabase/push-notifications.sql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Engine:  </w:t>
      </w:r>
      <w:r>
        <w:rPr>
          <w:color w:val="222831"/>
          <w:sz w:val="19"/>
          <w:szCs w:val="19"/>
        </w:rPr>
        <w:t xml:space="preserve">PostgreSQL (Supabase), schema: public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Note:  </w:t>
      </w:r>
      <w:r>
        <w:rPr>
          <w:color w:val="222831"/>
          <w:sz w:val="19"/>
          <w:szCs w:val="19"/>
        </w:rPr>
        <w:t xml:space="preserve">Lives in public, not a feature-specific schema — same reasoning as the Notification Centre: this is shared delivery infrastructure, not a feature with its own domain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Tables (as delivered)</w:t>
      </w:r>
    </w:p>
    <w:p>
      <w:pPr>
        <w:pStyle w:val="Heading2"/>
      </w:pPr>
      <w:r>
        <w:t xml:space="preserve">1.1 push_subscriptions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 default gen_random_uuid()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 = anonymous public subscriber (e.g. new_articles only)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unique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browser push service URL; one row per device/browser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p256dh, auth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subscription’s encryption keys, as returned by PushManager.subscribe()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user_agent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Captured at subscribe time, for debugging delivery issues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timestamptz, default now()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</w:pPr>
      <w:r>
        <w:t xml:space="preserve">1.2 push_subscription_topics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subscription_id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push_subscriptions.id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Cascades on delete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topic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Free text by design, matching public.notifications.type — new_articles, admin_requests, or any future value, no migration needed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(subscription_id, topic)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subscription cannot be double-opted into the same topic</w:t>
            </w:r>
          </w:p>
        </w:tc>
      </w:tr>
    </w:tbl>
    <w:p>
      <w:pPr>
        <w:pStyle w:val="Heading1"/>
      </w:pPr>
      <w:r>
        <w:t xml:space="preserve">2. Row Level Security (as delivered)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88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tcW w:type="dxa" w:w="38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push_subscriptions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auth.uid() = user_id, for all operations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signed-in user can only see/manage their own rows; anonymous rows (user_id is null) are never reachable through this policy from any client — only through the service-role API routes</w:t>
            </w:r>
          </w:p>
        </w:tc>
      </w:tr>
      <w:tr>
        <w:tc>
          <w:tcPr>
            <w:tcW w:type="dxa" w:w="20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push_subscription_topics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Allowed only where the parent subscription’s user_id = auth.uid()</w:t>
            </w:r>
          </w:p>
        </w:tc>
        <w:tc>
          <w:tcPr>
            <w:tcW w:type="dxa" w:w="3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Mirrors the parent table’s policy via a subquery</w:t>
            </w:r>
          </w:p>
        </w:tc>
      </w:tr>
    </w:tbl>
    <w:p>
      <w:pPr>
        <w:spacing w:after="200"/>
      </w:pPr>
      <w:r>
        <w:rPr>
          <w:b w:val="false"/>
          <w:bCs w:val="false"/>
          <w:i/>
          <w:iCs/>
          <w:color w:val="222831"/>
          <w:sz w:val="21"/>
          <w:szCs w:val="21"/>
        </w:rPr>
        <w:t xml:space="preserve">Sending (lib/push/send.ts) and the subscribe/unsubscribe API routes all run under the Supabase service role, which bypasses RLS — this is intentional and the only way a broadcast send to "everyone on topic X" can work at all, since RLS is inherently scoped to a single authenticated caller.</w:t>
      </w:r>
    </w:p>
    <w:p>
      <w:pPr>
        <w:pStyle w:val="Heading1"/>
      </w:pPr>
      <w:r>
        <w:t xml:space="preserve">3. Relationship to Existing Shared Tables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push_subscriptions ─┄1 profiles        (user_id, nullable)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push_subscriptions 1─└1 push_subscription_topics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Not a foreign key, but the intended call relationship: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notify()  (public.notifications, from the Notification Centre)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└─→  sendPushToTopic() / sendPushToUser()   (this feature)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        same event, two delivery channels — in-app row + OS push</w:t>
      </w:r>
    </w:p>
    <w:p>
      <w:pPr>
        <w:pStyle w:val="Heading1"/>
      </w:pPr>
      <w:r>
        <w:t xml:space="preserve">4. Migration Note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This is new infrastructure, not a promotion of an existing per-feature table — unlike audit_logs, reports, or notifications, nothing earlier in the roadmap already had its own push-subscriptions table to migrate. No cleanup task is required here.</w:t>
      </w:r>
    </w:p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Push Notifications</w:t>
    </w:r>
    <w:r>
      <w:rPr>
        <w:color w:val="5B6572"/>
        <w:sz w:val="16"/>
        <w:szCs w:val="16"/>
      </w:rPr>
      <w:t xml:space="preserve">	Backend Schema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Push Notifications</w:t>
    </w:r>
    <w:r>
      <w:rPr>
        <w:color w:val="5B6572"/>
        <w:sz w:val="16"/>
        <w:szCs w:val="16"/>
      </w:rPr>
      <w:t xml:space="preserve">	Backend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2026-10-06T08:03:27.698Z</dcterms:created>
  <dcterms:modified xsi:type="dcterms:W3CDTF">2026-10-06T08:03:27.699Z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