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19CB" w14:textId="04993382" w:rsidR="00A33B4A" w:rsidRDefault="00A33B4A" w:rsidP="00A33B4A">
      <w:pPr>
        <w:jc w:val="center"/>
        <w:rPr>
          <w:rFonts w:ascii="Segoe UI" w:hAnsi="Segoe UI" w:cs="Segoe UI"/>
          <w:b/>
          <w:bCs/>
          <w:sz w:val="32"/>
          <w:szCs w:val="32"/>
        </w:rPr>
      </w:pPr>
      <w:r w:rsidRPr="00A33B4A">
        <w:rPr>
          <w:rFonts w:ascii="Segoe UI" w:hAnsi="Segoe UI" w:cs="Segoe UI"/>
          <w:b/>
          <w:bCs/>
          <w:sz w:val="32"/>
          <w:szCs w:val="32"/>
        </w:rPr>
        <w:t>Metro Finance KPI Dashboard Report</w:t>
      </w:r>
    </w:p>
    <w:p w14:paraId="52A480A8" w14:textId="77777777" w:rsidR="00A33B4A" w:rsidRDefault="00A33B4A" w:rsidP="00A33B4A">
      <w:pPr>
        <w:jc w:val="center"/>
        <w:rPr>
          <w:rFonts w:ascii="Segoe UI" w:hAnsi="Segoe UI" w:cs="Segoe UI"/>
          <w:b/>
          <w:bCs/>
          <w:sz w:val="32"/>
          <w:szCs w:val="32"/>
        </w:rPr>
      </w:pPr>
    </w:p>
    <w:p w14:paraId="07AF4C89" w14:textId="77777777" w:rsidR="00A33B4A" w:rsidRPr="00A33B4A" w:rsidRDefault="00A33B4A" w:rsidP="00A33B4A">
      <w:pPr>
        <w:rPr>
          <w:rFonts w:ascii="Segoe UI" w:hAnsi="Segoe UI" w:cs="Segoe UI"/>
          <w:sz w:val="28"/>
          <w:szCs w:val="28"/>
          <w:u w:val="single"/>
        </w:rPr>
      </w:pPr>
      <w:r w:rsidRPr="00A33B4A">
        <w:rPr>
          <w:rFonts w:ascii="Segoe UI" w:hAnsi="Segoe UI" w:cs="Segoe UI"/>
          <w:sz w:val="28"/>
          <w:szCs w:val="28"/>
          <w:u w:val="single"/>
        </w:rPr>
        <w:t>Executive Summary:</w:t>
      </w:r>
    </w:p>
    <w:p w14:paraId="6B17CDF4" w14:textId="77777777" w:rsidR="00A33B4A" w:rsidRPr="00A33B4A" w:rsidRDefault="00A33B4A" w:rsidP="00A33B4A">
      <w:pPr>
        <w:rPr>
          <w:rFonts w:ascii="Segoe UI" w:hAnsi="Segoe UI" w:cs="Segoe UI"/>
        </w:rPr>
      </w:pPr>
      <w:r w:rsidRPr="00A33B4A">
        <w:rPr>
          <w:rFonts w:ascii="Segoe UI" w:hAnsi="Segoe UI" w:cs="Segoe UI"/>
        </w:rPr>
        <w:t>The Metro Finance KPI Dashboard provides a comprehensive overview of our bank’s performance metrics, offering key insights into the distribution of account types, customer demographics, transaction volumes, and risk factors associated with account balances and transactions. The following report synthesizes the critical data points and trends observed from the current metrics.</w:t>
      </w:r>
    </w:p>
    <w:p w14:paraId="0B44ED99" w14:textId="77777777" w:rsidR="00A33B4A" w:rsidRPr="00A33B4A" w:rsidRDefault="00A33B4A" w:rsidP="00A33B4A">
      <w:pPr>
        <w:rPr>
          <w:rFonts w:ascii="Segoe UI" w:hAnsi="Segoe UI" w:cs="Segoe UI"/>
        </w:rPr>
      </w:pPr>
    </w:p>
    <w:p w14:paraId="6E5BC60B" w14:textId="77777777" w:rsidR="00A33B4A" w:rsidRPr="00A33B4A" w:rsidRDefault="00A33B4A" w:rsidP="00A33B4A">
      <w:pPr>
        <w:rPr>
          <w:rFonts w:ascii="Segoe UI" w:hAnsi="Segoe UI" w:cs="Segoe UI"/>
          <w:sz w:val="28"/>
          <w:szCs w:val="28"/>
          <w:u w:val="single"/>
        </w:rPr>
      </w:pPr>
      <w:r w:rsidRPr="00A33B4A">
        <w:rPr>
          <w:rFonts w:ascii="Segoe UI" w:hAnsi="Segoe UI" w:cs="Segoe UI"/>
          <w:sz w:val="28"/>
          <w:szCs w:val="28"/>
          <w:u w:val="single"/>
        </w:rPr>
        <w:t>Key Findings:</w:t>
      </w:r>
    </w:p>
    <w:p w14:paraId="51C98E6E" w14:textId="77777777" w:rsidR="00A33B4A" w:rsidRPr="00A33B4A" w:rsidRDefault="00A33B4A" w:rsidP="00A33B4A">
      <w:pPr>
        <w:rPr>
          <w:rFonts w:ascii="Segoe UI" w:hAnsi="Segoe UI" w:cs="Segoe UI"/>
        </w:rPr>
      </w:pPr>
    </w:p>
    <w:p w14:paraId="45687614" w14:textId="26F2E541" w:rsidR="00A33B4A" w:rsidRPr="00A33B4A" w:rsidRDefault="00A33B4A" w:rsidP="00A33B4A">
      <w:pPr>
        <w:pStyle w:val="ListParagraph"/>
        <w:numPr>
          <w:ilvl w:val="0"/>
          <w:numId w:val="1"/>
        </w:numPr>
        <w:rPr>
          <w:rFonts w:ascii="Segoe UI" w:hAnsi="Segoe UI" w:cs="Segoe UI"/>
        </w:rPr>
      </w:pPr>
      <w:r w:rsidRPr="00A33B4A">
        <w:rPr>
          <w:rFonts w:ascii="Segoe UI" w:hAnsi="Segoe UI" w:cs="Segoe UI"/>
        </w:rPr>
        <w:t>Account Distribution:</w:t>
      </w:r>
    </w:p>
    <w:p w14:paraId="5386ACC4" w14:textId="77777777" w:rsidR="00A33B4A" w:rsidRPr="00A33B4A" w:rsidRDefault="00A33B4A" w:rsidP="00A33B4A">
      <w:pPr>
        <w:rPr>
          <w:rFonts w:ascii="Segoe UI" w:hAnsi="Segoe UI" w:cs="Segoe UI"/>
        </w:rPr>
      </w:pPr>
      <w:r w:rsidRPr="00A33B4A">
        <w:rPr>
          <w:rFonts w:ascii="Segoe UI" w:hAnsi="Segoe UI" w:cs="Segoe UI"/>
        </w:rPr>
        <w:t xml:space="preserve">The 'Number of Accounts by Type' chart indicates a diverse range of accounts with the highest prevalence being Savings Accounts (20.93%), followed by Checking Accounts (13.95%). This suggests a strong inclination towards traditional banking products among our customer </w:t>
      </w:r>
      <w:proofErr w:type="gramStart"/>
      <w:r w:rsidRPr="00A33B4A">
        <w:rPr>
          <w:rFonts w:ascii="Segoe UI" w:hAnsi="Segoe UI" w:cs="Segoe UI"/>
        </w:rPr>
        <w:t>base</w:t>
      </w:r>
      <w:proofErr w:type="gramEnd"/>
      <w:r w:rsidRPr="00A33B4A">
        <w:rPr>
          <w:rFonts w:ascii="Segoe UI" w:hAnsi="Segoe UI" w:cs="Segoe UI"/>
        </w:rPr>
        <w:t>.</w:t>
      </w:r>
    </w:p>
    <w:p w14:paraId="709EAA53" w14:textId="77777777" w:rsidR="00A33B4A" w:rsidRDefault="00A33B4A" w:rsidP="00A33B4A">
      <w:pPr>
        <w:rPr>
          <w:rFonts w:ascii="Segoe UI" w:hAnsi="Segoe UI" w:cs="Segoe UI"/>
        </w:rPr>
      </w:pPr>
      <w:r w:rsidRPr="00A33B4A">
        <w:rPr>
          <w:rFonts w:ascii="Segoe UI" w:hAnsi="Segoe UI" w:cs="Segoe UI"/>
        </w:rPr>
        <w:t>Student Accounts and Business Accounts are equally represented, which could indicate a balanced demographic of young adults and business professionals within our clientele.</w:t>
      </w:r>
    </w:p>
    <w:p w14:paraId="3E3EB07D" w14:textId="77777777" w:rsidR="00A33B4A" w:rsidRPr="00A33B4A" w:rsidRDefault="00A33B4A" w:rsidP="00A33B4A">
      <w:pPr>
        <w:rPr>
          <w:rFonts w:ascii="Segoe UI" w:hAnsi="Segoe UI" w:cs="Segoe UI"/>
        </w:rPr>
      </w:pPr>
    </w:p>
    <w:p w14:paraId="1EF9AB39" w14:textId="0B966C7E" w:rsidR="00A33B4A" w:rsidRPr="00A33B4A" w:rsidRDefault="00A33B4A" w:rsidP="00A33B4A">
      <w:pPr>
        <w:pStyle w:val="ListParagraph"/>
        <w:numPr>
          <w:ilvl w:val="0"/>
          <w:numId w:val="1"/>
        </w:numPr>
        <w:rPr>
          <w:rFonts w:ascii="Segoe UI" w:hAnsi="Segoe UI" w:cs="Segoe UI"/>
        </w:rPr>
      </w:pPr>
      <w:r w:rsidRPr="00A33B4A">
        <w:rPr>
          <w:rFonts w:ascii="Segoe UI" w:hAnsi="Segoe UI" w:cs="Segoe UI"/>
        </w:rPr>
        <w:t>Demographic Insights:</w:t>
      </w:r>
    </w:p>
    <w:p w14:paraId="6B2A6FB0" w14:textId="77777777" w:rsidR="00A33B4A" w:rsidRPr="00A33B4A" w:rsidRDefault="00A33B4A" w:rsidP="00A33B4A">
      <w:pPr>
        <w:rPr>
          <w:rFonts w:ascii="Segoe UI" w:hAnsi="Segoe UI" w:cs="Segoe UI"/>
        </w:rPr>
      </w:pPr>
      <w:r w:rsidRPr="00A33B4A">
        <w:rPr>
          <w:rFonts w:ascii="Segoe UI" w:hAnsi="Segoe UI" w:cs="Segoe UI"/>
        </w:rPr>
        <w:t>The demographic filters for Branch, Age, and Sex show an all-inclusive banking environment, allowing for granular analysis of account holders.</w:t>
      </w:r>
    </w:p>
    <w:p w14:paraId="560BA5CD" w14:textId="77777777" w:rsidR="00A33B4A" w:rsidRDefault="00A33B4A" w:rsidP="00A33B4A">
      <w:pPr>
        <w:rPr>
          <w:rFonts w:ascii="Segoe UI" w:hAnsi="Segoe UI" w:cs="Segoe UI"/>
        </w:rPr>
      </w:pPr>
      <w:r w:rsidRPr="00A33B4A">
        <w:rPr>
          <w:rFonts w:ascii="Segoe UI" w:hAnsi="Segoe UI" w:cs="Segoe UI"/>
        </w:rPr>
        <w:t>The 'Median Balance vs Age' graph indicates that the median balance does not significantly vary with age, maintaining a consistent level across the spectrum.</w:t>
      </w:r>
    </w:p>
    <w:p w14:paraId="6092B546" w14:textId="77777777" w:rsidR="00A33B4A" w:rsidRDefault="00A33B4A" w:rsidP="00A33B4A">
      <w:pPr>
        <w:rPr>
          <w:rFonts w:ascii="Segoe UI" w:hAnsi="Segoe UI" w:cs="Segoe UI"/>
        </w:rPr>
      </w:pPr>
    </w:p>
    <w:p w14:paraId="19E4E2DE" w14:textId="77777777" w:rsidR="00A33B4A" w:rsidRDefault="00A33B4A" w:rsidP="00A33B4A">
      <w:pPr>
        <w:rPr>
          <w:rFonts w:ascii="Segoe UI" w:hAnsi="Segoe UI" w:cs="Segoe UI"/>
        </w:rPr>
      </w:pPr>
    </w:p>
    <w:p w14:paraId="3C26DBA8" w14:textId="77777777" w:rsidR="00A33B4A" w:rsidRDefault="00A33B4A" w:rsidP="00A33B4A">
      <w:pPr>
        <w:rPr>
          <w:rFonts w:ascii="Segoe UI" w:hAnsi="Segoe UI" w:cs="Segoe UI"/>
        </w:rPr>
      </w:pPr>
    </w:p>
    <w:p w14:paraId="6DEAC879" w14:textId="77777777" w:rsidR="00A33B4A" w:rsidRPr="00A33B4A" w:rsidRDefault="00A33B4A" w:rsidP="00A33B4A">
      <w:pPr>
        <w:rPr>
          <w:rFonts w:ascii="Segoe UI" w:hAnsi="Segoe UI" w:cs="Segoe UI"/>
        </w:rPr>
      </w:pPr>
    </w:p>
    <w:p w14:paraId="372F0779" w14:textId="55E7077D" w:rsidR="00A33B4A" w:rsidRPr="00A33B4A" w:rsidRDefault="00A33B4A" w:rsidP="00A33B4A">
      <w:pPr>
        <w:pStyle w:val="ListParagraph"/>
        <w:numPr>
          <w:ilvl w:val="0"/>
          <w:numId w:val="1"/>
        </w:numPr>
        <w:rPr>
          <w:rFonts w:ascii="Segoe UI" w:hAnsi="Segoe UI" w:cs="Segoe UI"/>
        </w:rPr>
      </w:pPr>
      <w:r w:rsidRPr="00A33B4A">
        <w:rPr>
          <w:rFonts w:ascii="Segoe UI" w:hAnsi="Segoe UI" w:cs="Segoe UI"/>
        </w:rPr>
        <w:lastRenderedPageBreak/>
        <w:t>Balance and Transaction Analysis:</w:t>
      </w:r>
    </w:p>
    <w:p w14:paraId="223E811B" w14:textId="77777777" w:rsidR="00A33B4A" w:rsidRPr="00A33B4A" w:rsidRDefault="00A33B4A" w:rsidP="00A33B4A">
      <w:pPr>
        <w:rPr>
          <w:rFonts w:ascii="Segoe UI" w:hAnsi="Segoe UI" w:cs="Segoe UI"/>
        </w:rPr>
      </w:pPr>
      <w:r w:rsidRPr="00A33B4A">
        <w:rPr>
          <w:rFonts w:ascii="Segoe UI" w:hAnsi="Segoe UI" w:cs="Segoe UI"/>
        </w:rPr>
        <w:t>'Median Balance vs Branch Location' reveals that Leipzig and Cologne branches have the highest median balances, which could reflect regional economic factors or successful branch management strategies.</w:t>
      </w:r>
    </w:p>
    <w:p w14:paraId="52EB9B9C" w14:textId="77777777" w:rsidR="00A33B4A" w:rsidRDefault="00A33B4A" w:rsidP="00A33B4A">
      <w:pPr>
        <w:rPr>
          <w:rFonts w:ascii="Segoe UI" w:hAnsi="Segoe UI" w:cs="Segoe UI"/>
        </w:rPr>
      </w:pPr>
      <w:r w:rsidRPr="00A33B4A">
        <w:rPr>
          <w:rFonts w:ascii="Segoe UI" w:hAnsi="Segoe UI" w:cs="Segoe UI"/>
        </w:rPr>
        <w:t xml:space="preserve">The 'Transaction Volume vs Transaction' graph shows that Berlin leads in both transaction amount and number of transactions, </w:t>
      </w:r>
      <w:proofErr w:type="spellStart"/>
      <w:r w:rsidRPr="00A33B4A">
        <w:rPr>
          <w:rFonts w:ascii="Segoe UI" w:hAnsi="Segoe UI" w:cs="Segoe UI"/>
        </w:rPr>
        <w:t>signaling</w:t>
      </w:r>
      <w:proofErr w:type="spellEnd"/>
      <w:r w:rsidRPr="00A33B4A">
        <w:rPr>
          <w:rFonts w:ascii="Segoe UI" w:hAnsi="Segoe UI" w:cs="Segoe UI"/>
        </w:rPr>
        <w:t xml:space="preserve"> high customer activity and possibly a greater market share in the region.</w:t>
      </w:r>
    </w:p>
    <w:p w14:paraId="61B003BF" w14:textId="77777777" w:rsidR="00A33B4A" w:rsidRPr="00A33B4A" w:rsidRDefault="00A33B4A" w:rsidP="00A33B4A">
      <w:pPr>
        <w:rPr>
          <w:rFonts w:ascii="Segoe UI" w:hAnsi="Segoe UI" w:cs="Segoe UI"/>
        </w:rPr>
      </w:pPr>
    </w:p>
    <w:p w14:paraId="0A316E2E" w14:textId="1BEEAEC2" w:rsidR="00A33B4A" w:rsidRPr="00A33B4A" w:rsidRDefault="00A33B4A" w:rsidP="00A33B4A">
      <w:pPr>
        <w:pStyle w:val="ListParagraph"/>
        <w:numPr>
          <w:ilvl w:val="0"/>
          <w:numId w:val="1"/>
        </w:numPr>
        <w:rPr>
          <w:rFonts w:ascii="Segoe UI" w:hAnsi="Segoe UI" w:cs="Segoe UI"/>
        </w:rPr>
      </w:pPr>
      <w:r w:rsidRPr="00A33B4A">
        <w:rPr>
          <w:rFonts w:ascii="Segoe UI" w:hAnsi="Segoe UI" w:cs="Segoe UI"/>
        </w:rPr>
        <w:t>Risk Analysis:</w:t>
      </w:r>
    </w:p>
    <w:p w14:paraId="255C7F34" w14:textId="77777777" w:rsidR="00A33B4A" w:rsidRDefault="00A33B4A" w:rsidP="00A33B4A">
      <w:pPr>
        <w:rPr>
          <w:rFonts w:ascii="Segoe UI" w:hAnsi="Segoe UI" w:cs="Segoe UI"/>
        </w:rPr>
      </w:pPr>
      <w:r w:rsidRPr="00A33B4A">
        <w:rPr>
          <w:rFonts w:ascii="Segoe UI" w:hAnsi="Segoe UI" w:cs="Segoe UI"/>
        </w:rPr>
        <w:t>The analysis of 'Account IDs having &gt;$1000 and $0 Transaction Amount' suggests potential idle accounts or accounts with unutilized funds. This presents an opportunity for targeted engagement strategies to stimulate transactional activity.</w:t>
      </w:r>
    </w:p>
    <w:p w14:paraId="25B77773" w14:textId="77777777" w:rsidR="00A33B4A" w:rsidRPr="00A33B4A" w:rsidRDefault="00A33B4A" w:rsidP="00A33B4A">
      <w:pPr>
        <w:rPr>
          <w:rFonts w:ascii="Segoe UI" w:hAnsi="Segoe UI" w:cs="Segoe UI"/>
        </w:rPr>
      </w:pPr>
    </w:p>
    <w:p w14:paraId="5F46E66D" w14:textId="25FE01F8" w:rsidR="00A33B4A" w:rsidRPr="00A33B4A" w:rsidRDefault="00A33B4A" w:rsidP="00A33B4A">
      <w:pPr>
        <w:pStyle w:val="ListParagraph"/>
        <w:numPr>
          <w:ilvl w:val="0"/>
          <w:numId w:val="1"/>
        </w:numPr>
        <w:rPr>
          <w:rFonts w:ascii="Segoe UI" w:hAnsi="Segoe UI" w:cs="Segoe UI"/>
        </w:rPr>
      </w:pPr>
      <w:r w:rsidRPr="00A33B4A">
        <w:rPr>
          <w:rFonts w:ascii="Segoe UI" w:hAnsi="Segoe UI" w:cs="Segoe UI"/>
        </w:rPr>
        <w:t>Aggregate Financial Indicators:</w:t>
      </w:r>
    </w:p>
    <w:p w14:paraId="3E02D9FC" w14:textId="77777777" w:rsidR="00A33B4A" w:rsidRDefault="00A33B4A" w:rsidP="00A33B4A">
      <w:pPr>
        <w:rPr>
          <w:rFonts w:ascii="Segoe UI" w:hAnsi="Segoe UI" w:cs="Segoe UI"/>
        </w:rPr>
      </w:pPr>
      <w:r w:rsidRPr="00A33B4A">
        <w:rPr>
          <w:rFonts w:ascii="Segoe UI" w:hAnsi="Segoe UI" w:cs="Segoe UI"/>
        </w:rPr>
        <w:t>Total Balance and Total Deposits stand at $79,763 and $2,212 respectively, with a total client count of 16. These figures provide a snapshot of the bank’s financial health and customer engagement level.</w:t>
      </w:r>
    </w:p>
    <w:p w14:paraId="6C450295" w14:textId="77777777" w:rsidR="00A33B4A" w:rsidRDefault="00A33B4A" w:rsidP="00A33B4A">
      <w:pPr>
        <w:rPr>
          <w:rFonts w:ascii="Segoe UI" w:hAnsi="Segoe UI" w:cs="Segoe UI"/>
        </w:rPr>
      </w:pPr>
    </w:p>
    <w:p w14:paraId="13957983" w14:textId="77777777" w:rsidR="00A33B4A" w:rsidRDefault="00A33B4A" w:rsidP="00A33B4A">
      <w:pPr>
        <w:rPr>
          <w:rFonts w:ascii="Segoe UI" w:hAnsi="Segoe UI" w:cs="Segoe UI"/>
        </w:rPr>
      </w:pPr>
    </w:p>
    <w:p w14:paraId="46B2621A" w14:textId="77777777" w:rsidR="00A33B4A" w:rsidRDefault="00A33B4A" w:rsidP="00A33B4A">
      <w:pPr>
        <w:rPr>
          <w:rFonts w:ascii="Segoe UI" w:hAnsi="Segoe UI" w:cs="Segoe UI"/>
        </w:rPr>
      </w:pPr>
    </w:p>
    <w:p w14:paraId="408E0492" w14:textId="77777777" w:rsidR="00A33B4A" w:rsidRDefault="00A33B4A" w:rsidP="00A33B4A">
      <w:pPr>
        <w:rPr>
          <w:rFonts w:ascii="Segoe UI" w:hAnsi="Segoe UI" w:cs="Segoe UI"/>
        </w:rPr>
      </w:pPr>
    </w:p>
    <w:p w14:paraId="201A1F3A" w14:textId="77777777" w:rsidR="00A33B4A" w:rsidRDefault="00A33B4A" w:rsidP="00A33B4A">
      <w:pPr>
        <w:rPr>
          <w:rFonts w:ascii="Segoe UI" w:hAnsi="Segoe UI" w:cs="Segoe UI"/>
        </w:rPr>
      </w:pPr>
    </w:p>
    <w:p w14:paraId="3F85DC1D" w14:textId="77777777" w:rsidR="00A33B4A" w:rsidRDefault="00A33B4A" w:rsidP="00A33B4A">
      <w:pPr>
        <w:rPr>
          <w:rFonts w:ascii="Segoe UI" w:hAnsi="Segoe UI" w:cs="Segoe UI"/>
        </w:rPr>
      </w:pPr>
    </w:p>
    <w:p w14:paraId="56884C52" w14:textId="77777777" w:rsidR="00A33B4A" w:rsidRDefault="00A33B4A" w:rsidP="00A33B4A">
      <w:pPr>
        <w:rPr>
          <w:rFonts w:ascii="Segoe UI" w:hAnsi="Segoe UI" w:cs="Segoe UI"/>
        </w:rPr>
      </w:pPr>
    </w:p>
    <w:p w14:paraId="749549C7" w14:textId="77777777" w:rsidR="00A33B4A" w:rsidRDefault="00A33B4A" w:rsidP="00A33B4A">
      <w:pPr>
        <w:rPr>
          <w:rFonts w:ascii="Segoe UI" w:hAnsi="Segoe UI" w:cs="Segoe UI"/>
        </w:rPr>
      </w:pPr>
    </w:p>
    <w:p w14:paraId="094953AB" w14:textId="77777777" w:rsidR="00A33B4A" w:rsidRDefault="00A33B4A" w:rsidP="00A33B4A">
      <w:pPr>
        <w:rPr>
          <w:rFonts w:ascii="Segoe UI" w:hAnsi="Segoe UI" w:cs="Segoe UI"/>
        </w:rPr>
      </w:pPr>
    </w:p>
    <w:p w14:paraId="00B702B8" w14:textId="77777777" w:rsidR="00A33B4A" w:rsidRDefault="00A33B4A" w:rsidP="00A33B4A">
      <w:pPr>
        <w:rPr>
          <w:rFonts w:ascii="Segoe UI" w:hAnsi="Segoe UI" w:cs="Segoe UI"/>
        </w:rPr>
      </w:pPr>
    </w:p>
    <w:p w14:paraId="1A5ADD38" w14:textId="77777777" w:rsidR="00A33B4A" w:rsidRDefault="00A33B4A" w:rsidP="00A33B4A">
      <w:pPr>
        <w:rPr>
          <w:rFonts w:ascii="Segoe UI" w:hAnsi="Segoe UI" w:cs="Segoe UI"/>
        </w:rPr>
      </w:pPr>
    </w:p>
    <w:p w14:paraId="3E9EC46E" w14:textId="77777777" w:rsidR="00A33B4A" w:rsidRPr="00A33B4A" w:rsidRDefault="00A33B4A" w:rsidP="00A33B4A">
      <w:pPr>
        <w:rPr>
          <w:rFonts w:ascii="Segoe UI" w:hAnsi="Segoe UI" w:cs="Segoe UI"/>
        </w:rPr>
      </w:pPr>
    </w:p>
    <w:p w14:paraId="31329228" w14:textId="2E80EF63" w:rsidR="00A33B4A" w:rsidRPr="00A33B4A" w:rsidRDefault="00A33B4A" w:rsidP="00A33B4A">
      <w:pPr>
        <w:rPr>
          <w:rFonts w:ascii="Segoe UI" w:hAnsi="Segoe UI" w:cs="Segoe UI"/>
          <w:sz w:val="28"/>
          <w:szCs w:val="28"/>
          <w:u w:val="single"/>
        </w:rPr>
      </w:pPr>
      <w:r w:rsidRPr="00A33B4A">
        <w:rPr>
          <w:rFonts w:ascii="Segoe UI" w:hAnsi="Segoe UI" w:cs="Segoe UI"/>
          <w:sz w:val="28"/>
          <w:szCs w:val="28"/>
          <w:u w:val="single"/>
        </w:rPr>
        <w:lastRenderedPageBreak/>
        <w:t>Conclusions and Recommendations:</w:t>
      </w:r>
    </w:p>
    <w:p w14:paraId="7C1DCC0A" w14:textId="77777777" w:rsidR="00A33B4A" w:rsidRPr="00A33B4A" w:rsidRDefault="00A33B4A" w:rsidP="00A33B4A">
      <w:pPr>
        <w:rPr>
          <w:rFonts w:ascii="Segoe UI" w:hAnsi="Segoe UI" w:cs="Segoe UI"/>
        </w:rPr>
      </w:pPr>
      <w:r w:rsidRPr="00A33B4A">
        <w:rPr>
          <w:rFonts w:ascii="Segoe UI" w:hAnsi="Segoe UI" w:cs="Segoe UI"/>
        </w:rPr>
        <w:t>The current KPIs demonstrate solid performance in traditional account types and an active customer base, particularly in the Berlin region.</w:t>
      </w:r>
    </w:p>
    <w:p w14:paraId="1E298EBA" w14:textId="77777777" w:rsidR="00A33B4A" w:rsidRPr="00A33B4A" w:rsidRDefault="00A33B4A" w:rsidP="00A33B4A">
      <w:pPr>
        <w:rPr>
          <w:rFonts w:ascii="Segoe UI" w:hAnsi="Segoe UI" w:cs="Segoe UI"/>
        </w:rPr>
      </w:pPr>
      <w:r w:rsidRPr="00A33B4A">
        <w:rPr>
          <w:rFonts w:ascii="Segoe UI" w:hAnsi="Segoe UI" w:cs="Segoe UI"/>
        </w:rPr>
        <w:t>We recommend conducting further analysis into the high median balances at Leipzig and Cologne to replicate successful strategies across other branches.</w:t>
      </w:r>
    </w:p>
    <w:p w14:paraId="3B55290C" w14:textId="77777777" w:rsidR="00A33B4A" w:rsidRPr="00A33B4A" w:rsidRDefault="00A33B4A" w:rsidP="00A33B4A">
      <w:pPr>
        <w:rPr>
          <w:rFonts w:ascii="Segoe UI" w:hAnsi="Segoe UI" w:cs="Segoe UI"/>
        </w:rPr>
      </w:pPr>
      <w:r w:rsidRPr="00A33B4A">
        <w:rPr>
          <w:rFonts w:ascii="Segoe UI" w:hAnsi="Segoe UI" w:cs="Segoe UI"/>
        </w:rPr>
        <w:t>Targeted marketing and financial advisory services could be beneficial in engaging the holders of idle accounts, possibly improving both customer satisfaction and transaction volumes.</w:t>
      </w:r>
    </w:p>
    <w:p w14:paraId="4D148308" w14:textId="77777777" w:rsidR="00A33B4A" w:rsidRDefault="00A33B4A" w:rsidP="00A33B4A">
      <w:pPr>
        <w:rPr>
          <w:rFonts w:ascii="Segoe UI" w:hAnsi="Segoe UI" w:cs="Segoe UI"/>
        </w:rPr>
      </w:pPr>
      <w:r w:rsidRPr="00A33B4A">
        <w:rPr>
          <w:rFonts w:ascii="Segoe UI" w:hAnsi="Segoe UI" w:cs="Segoe UI"/>
        </w:rPr>
        <w:t>Continuous monitoring of these KPIs is essential to understand long-term trends and to inform strategic decisions.</w:t>
      </w:r>
    </w:p>
    <w:p w14:paraId="6A84596C" w14:textId="77777777" w:rsidR="00A33B4A" w:rsidRPr="00A33B4A" w:rsidRDefault="00A33B4A" w:rsidP="00A33B4A">
      <w:pPr>
        <w:rPr>
          <w:rFonts w:ascii="Segoe UI" w:hAnsi="Segoe UI" w:cs="Segoe UI"/>
        </w:rPr>
      </w:pPr>
    </w:p>
    <w:p w14:paraId="6BCC68D5" w14:textId="72677B25" w:rsidR="00A33B4A" w:rsidRPr="00A33B4A" w:rsidRDefault="00A33B4A" w:rsidP="00A33B4A">
      <w:pPr>
        <w:rPr>
          <w:rFonts w:ascii="Segoe UI" w:hAnsi="Segoe UI" w:cs="Segoe UI"/>
          <w:i/>
          <w:iCs/>
          <w:sz w:val="28"/>
          <w:szCs w:val="28"/>
          <w:u w:val="single"/>
        </w:rPr>
      </w:pPr>
      <w:r w:rsidRPr="00A33B4A">
        <w:rPr>
          <w:rFonts w:ascii="Segoe UI" w:hAnsi="Segoe UI" w:cs="Segoe UI"/>
          <w:i/>
          <w:iCs/>
          <w:sz w:val="28"/>
          <w:szCs w:val="28"/>
          <w:u w:val="single"/>
        </w:rPr>
        <w:t>Next Steps:</w:t>
      </w:r>
    </w:p>
    <w:p w14:paraId="1BDEA57F" w14:textId="77777777" w:rsidR="00A33B4A" w:rsidRPr="00A33B4A" w:rsidRDefault="00A33B4A" w:rsidP="00A33B4A">
      <w:pPr>
        <w:rPr>
          <w:rFonts w:ascii="Segoe UI" w:hAnsi="Segoe UI" w:cs="Segoe UI"/>
        </w:rPr>
      </w:pPr>
      <w:r w:rsidRPr="00A33B4A">
        <w:rPr>
          <w:rFonts w:ascii="Segoe UI" w:hAnsi="Segoe UI" w:cs="Segoe UI"/>
        </w:rPr>
        <w:t>An in-depth analysis of the demographics related to account types could yield insights for personalized product offerings.</w:t>
      </w:r>
    </w:p>
    <w:p w14:paraId="477FC530" w14:textId="77777777" w:rsidR="00A33B4A" w:rsidRPr="00A33B4A" w:rsidRDefault="00A33B4A" w:rsidP="00A33B4A">
      <w:pPr>
        <w:rPr>
          <w:rFonts w:ascii="Segoe UI" w:hAnsi="Segoe UI" w:cs="Segoe UI"/>
        </w:rPr>
      </w:pPr>
      <w:r w:rsidRPr="00A33B4A">
        <w:rPr>
          <w:rFonts w:ascii="Segoe UI" w:hAnsi="Segoe UI" w:cs="Segoe UI"/>
        </w:rPr>
        <w:t>Investigate the underlying causes of the uniform median balance across age groups for tailored financial planning services.</w:t>
      </w:r>
    </w:p>
    <w:p w14:paraId="0BBCAA4B" w14:textId="77777777" w:rsidR="00A33B4A" w:rsidRPr="00A33B4A" w:rsidRDefault="00A33B4A" w:rsidP="00A33B4A">
      <w:pPr>
        <w:rPr>
          <w:rFonts w:ascii="Segoe UI" w:hAnsi="Segoe UI" w:cs="Segoe UI"/>
        </w:rPr>
      </w:pPr>
      <w:r w:rsidRPr="00A33B4A">
        <w:rPr>
          <w:rFonts w:ascii="Segoe UI" w:hAnsi="Segoe UI" w:cs="Segoe UI"/>
        </w:rPr>
        <w:t>Explore strategic partnerships or promotional campaigns in regions with lower median balances to increase market penetration.</w:t>
      </w:r>
    </w:p>
    <w:p w14:paraId="5FDDA947" w14:textId="77777777" w:rsidR="00A33B4A" w:rsidRPr="00A33B4A" w:rsidRDefault="00A33B4A" w:rsidP="00A33B4A">
      <w:pPr>
        <w:rPr>
          <w:rFonts w:ascii="Segoe UI" w:hAnsi="Segoe UI" w:cs="Segoe UI"/>
        </w:rPr>
      </w:pPr>
      <w:r w:rsidRPr="00A33B4A">
        <w:rPr>
          <w:rFonts w:ascii="Segoe UI" w:hAnsi="Segoe UI" w:cs="Segoe UI"/>
        </w:rPr>
        <w:t>This report highlights the main points from the KPI dashboard with a focus on providing clear and actionable insights that can aid in decision-making and strategy formulation for Metro Finance.</w:t>
      </w:r>
    </w:p>
    <w:p w14:paraId="55B4052C" w14:textId="77777777" w:rsidR="00A33B4A" w:rsidRPr="00A33B4A" w:rsidRDefault="00A33B4A" w:rsidP="00A33B4A">
      <w:pPr>
        <w:rPr>
          <w:rFonts w:ascii="Segoe UI" w:hAnsi="Segoe UI" w:cs="Segoe UI"/>
          <w:b/>
          <w:bCs/>
        </w:rPr>
      </w:pPr>
    </w:p>
    <w:p w14:paraId="7306851F" w14:textId="77777777" w:rsidR="00A33B4A" w:rsidRPr="00A33B4A" w:rsidRDefault="00A33B4A" w:rsidP="00A33B4A">
      <w:pPr>
        <w:rPr>
          <w:rFonts w:ascii="Segoe UI" w:hAnsi="Segoe UI" w:cs="Segoe UI"/>
          <w:b/>
          <w:bCs/>
        </w:rPr>
      </w:pPr>
    </w:p>
    <w:sectPr w:rsidR="00A33B4A" w:rsidRPr="00A33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10A81"/>
    <w:multiLevelType w:val="hybridMultilevel"/>
    <w:tmpl w:val="079642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11762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4A"/>
    <w:rsid w:val="00A33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41BC"/>
  <w15:chartTrackingRefBased/>
  <w15:docId w15:val="{8C3385B3-A8A8-4585-9ABD-917D0F98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B4A"/>
    <w:rPr>
      <w:rFonts w:eastAsiaTheme="majorEastAsia" w:cstheme="majorBidi"/>
      <w:color w:val="272727" w:themeColor="text1" w:themeTint="D8"/>
    </w:rPr>
  </w:style>
  <w:style w:type="paragraph" w:styleId="Title">
    <w:name w:val="Title"/>
    <w:basedOn w:val="Normal"/>
    <w:next w:val="Normal"/>
    <w:link w:val="TitleChar"/>
    <w:uiPriority w:val="10"/>
    <w:qFormat/>
    <w:rsid w:val="00A33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B4A"/>
    <w:pPr>
      <w:spacing w:before="160"/>
      <w:jc w:val="center"/>
    </w:pPr>
    <w:rPr>
      <w:i/>
      <w:iCs/>
      <w:color w:val="404040" w:themeColor="text1" w:themeTint="BF"/>
    </w:rPr>
  </w:style>
  <w:style w:type="character" w:customStyle="1" w:styleId="QuoteChar">
    <w:name w:val="Quote Char"/>
    <w:basedOn w:val="DefaultParagraphFont"/>
    <w:link w:val="Quote"/>
    <w:uiPriority w:val="29"/>
    <w:rsid w:val="00A33B4A"/>
    <w:rPr>
      <w:i/>
      <w:iCs/>
      <w:color w:val="404040" w:themeColor="text1" w:themeTint="BF"/>
    </w:rPr>
  </w:style>
  <w:style w:type="paragraph" w:styleId="ListParagraph">
    <w:name w:val="List Paragraph"/>
    <w:basedOn w:val="Normal"/>
    <w:uiPriority w:val="34"/>
    <w:qFormat/>
    <w:rsid w:val="00A33B4A"/>
    <w:pPr>
      <w:ind w:left="720"/>
      <w:contextualSpacing/>
    </w:pPr>
  </w:style>
  <w:style w:type="character" w:styleId="IntenseEmphasis">
    <w:name w:val="Intense Emphasis"/>
    <w:basedOn w:val="DefaultParagraphFont"/>
    <w:uiPriority w:val="21"/>
    <w:qFormat/>
    <w:rsid w:val="00A33B4A"/>
    <w:rPr>
      <w:i/>
      <w:iCs/>
      <w:color w:val="0F4761" w:themeColor="accent1" w:themeShade="BF"/>
    </w:rPr>
  </w:style>
  <w:style w:type="paragraph" w:styleId="IntenseQuote">
    <w:name w:val="Intense Quote"/>
    <w:basedOn w:val="Normal"/>
    <w:next w:val="Normal"/>
    <w:link w:val="IntenseQuoteChar"/>
    <w:uiPriority w:val="30"/>
    <w:qFormat/>
    <w:rsid w:val="00A33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B4A"/>
    <w:rPr>
      <w:i/>
      <w:iCs/>
      <w:color w:val="0F4761" w:themeColor="accent1" w:themeShade="BF"/>
    </w:rPr>
  </w:style>
  <w:style w:type="character" w:styleId="IntenseReference">
    <w:name w:val="Intense Reference"/>
    <w:basedOn w:val="DefaultParagraphFont"/>
    <w:uiPriority w:val="32"/>
    <w:qFormat/>
    <w:rsid w:val="00A33B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90076">
      <w:bodyDiv w:val="1"/>
      <w:marLeft w:val="0"/>
      <w:marRight w:val="0"/>
      <w:marTop w:val="0"/>
      <w:marBottom w:val="0"/>
      <w:divBdr>
        <w:top w:val="none" w:sz="0" w:space="0" w:color="auto"/>
        <w:left w:val="none" w:sz="0" w:space="0" w:color="auto"/>
        <w:bottom w:val="none" w:sz="0" w:space="0" w:color="auto"/>
        <w:right w:val="none" w:sz="0" w:space="0" w:color="auto"/>
      </w:divBdr>
      <w:divsChild>
        <w:div w:id="1511605047">
          <w:marLeft w:val="0"/>
          <w:marRight w:val="0"/>
          <w:marTop w:val="0"/>
          <w:marBottom w:val="0"/>
          <w:divBdr>
            <w:top w:val="single" w:sz="2" w:space="0" w:color="D9D9E3"/>
            <w:left w:val="single" w:sz="2" w:space="0" w:color="D9D9E3"/>
            <w:bottom w:val="single" w:sz="2" w:space="0" w:color="D9D9E3"/>
            <w:right w:val="single" w:sz="2" w:space="0" w:color="D9D9E3"/>
          </w:divBdr>
          <w:divsChild>
            <w:div w:id="1066994454">
              <w:marLeft w:val="0"/>
              <w:marRight w:val="0"/>
              <w:marTop w:val="0"/>
              <w:marBottom w:val="0"/>
              <w:divBdr>
                <w:top w:val="single" w:sz="2" w:space="0" w:color="D9D9E3"/>
                <w:left w:val="single" w:sz="2" w:space="0" w:color="D9D9E3"/>
                <w:bottom w:val="single" w:sz="2" w:space="0" w:color="D9D9E3"/>
                <w:right w:val="single" w:sz="2" w:space="0" w:color="D9D9E3"/>
              </w:divBdr>
              <w:divsChild>
                <w:div w:id="695277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k</dc:creator>
  <cp:keywords/>
  <dc:description/>
  <cp:lastModifiedBy>anupama k</cp:lastModifiedBy>
  <cp:revision>1</cp:revision>
  <dcterms:created xsi:type="dcterms:W3CDTF">2024-01-22T03:35:00Z</dcterms:created>
  <dcterms:modified xsi:type="dcterms:W3CDTF">2024-01-22T03:39:00Z</dcterms:modified>
</cp:coreProperties>
</file>