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2026-08-06</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Server actions for add/remove, real quotes from DB + factor scores (4-factor breakdown) — 2026-08-04</w:t>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price history, fundamentals fetched from DB, factor percentiles displayed — 2026-08-04</w:t>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indices (SPY/QQQ/IWM), FRED yield curve (2Y/5Y/10Y/30Y), crypto (BTC/ETH/USDT) — 2026-08-04</w:t>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headlines with EST timestamps via NewsAPI integration — 2026-08-04</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metrics.ts with winsorization bounds, percentile ranking, confidence assessment — 2026-08-04</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composer.ts with PRESET_WEIGHTS, automatic preset suggestion based on factor profile — 2026-08-04</w:t>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screener from watchlist, ranked by composite score, sort by any factor — 2026-08-04</w:t>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regime calculation from FRED data, displayed on Markets page — 2026-08-04</w:t>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NewsAPI integration in refresh pipeline, fetchNewsForWatchlist() — 2026-08-04</w:t>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EventsWidget on Markets page; 18 events (12 CPI + 6 FOMC) initialized via admin panel — 2026-08-04</w:t>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Implemented as G5 (event-overlay assessments with Claude Opus) — 2026-08-04</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Data model in schema; server actions for portfolio overview — 2026-08-04</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scoring-actions.ts: scoreFundsBySlot, findBetterAlternatives, scoreFundComparative (60% cost + 40% performance) — 2026-08-04</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Portfolio page with account-level data, combined allocation, expense drag — 2026-08-04</w:t>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optimization-actions.ts: generateSuggestionsForAccount, getSuggestionsForAccount, refreshSuggestionsForAccount; admin panel wired — 2026-08-04</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event-assessment-actions.ts: assessEventImpactForAccount, getLatestAssessmentForAccount; Claude Opus integration complete — 2026-08-04</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at https://investment-research-weld.vercel.app; 8/8 env vars configured; cron active (3 AM UTC daily) — 2026-08-04</w:t>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41/43 tests passing (2 skipped); schema, providers, scoring, screener, symbol-search logic covered — 2026-08-05</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Watchlist, Portfolio, Fund Scoring, Optimization, Events, Assessments all unit-tested — 2026-08-04</w:t>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In-app click-through found no crashes 2026-08-04, but did not catch that prices/factor scores were silently never persisted, DB env misconfiguration, or two pages permanently broken by a Next.js 16 API change — see Q4. Superseded by Q4 as the real pre-ship gate.</w:t>
            </w:r>
          </w:p>
        </w:tc>
      </w:tr>
      <w:tr>
        <w:tc>
          <w:tcPr>
            <w:tcW w:type="dxa" w:w="562"/>
            <w:tcMar>
              <w:top w:type="dxa" w:w="60"/>
              <w:left w:type="dxa" w:w="100"/>
              <w:bottom w:type="dxa" w:w="60"/>
              <w:right w:type="dxa" w:w="100"/>
            </w:tcMar>
          </w:tcPr>
          <w:p>
            <w:r>
              <w:rPr>
                <w:b w:val="false"/>
                <w:bCs w:val="false"/>
                <w:sz w:val="20"/>
                <w:szCs w:val="20"/>
              </w:rPr>
              <w:t xml:space="preserve">Q4</w:t>
            </w:r>
          </w:p>
        </w:tc>
        <w:tc>
          <w:tcPr>
            <w:tcW w:type="dxa" w:w="5054"/>
            <w:tcMar>
              <w:top w:type="dxa" w:w="60"/>
              <w:left w:type="dxa" w:w="100"/>
              <w:bottom w:type="dxa" w:w="60"/>
              <w:right w:type="dxa" w:w="100"/>
            </w:tcMar>
          </w:tcPr>
          <w:p>
            <w:r>
              <w:rPr>
                <w:b w:val="false"/>
                <w:bCs w:val="false"/>
                <w:sz w:val="20"/>
                <w:szCs w:val="20"/>
              </w:rPr>
              <w:t xml:space="preserve">Full production audit: every page/feature exercised against the live deployment, not local/dev, with real evidence (curl status codes, runtime logs, DB reads) — not screenshots alone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Found and fixed 3 production-breaking infra bugs (wrong DB env var name → every query silently failing; Turso had zero applied migrations; 2 migration files used non-portable multi-statement SQL) plus 11 further issues on re-audit: prices/factorScores computed but never written (Screener/Watchlist could never show real data); deprecated Claude model (EOL the next day); G5 narrative assessments generated via a real paid API call but never displayed; /instrument/[symbol] and /portfolio/[accountId] permanently broken (Next.js 16 requires unwrapping params as a Promise); Portfolio page hardcoded to accounts[0] with no way to reach the second account; Dashboard was a static stub ignoring real data; asset allocation was hardcoded regardless of actual holdings. All fixed and re-verified in production — 2026-08-05. CLAUDE.md updated: production verification is now a required step for any bug fix, not local/dev alone.</w:t>
            </w:r>
          </w:p>
        </w:tc>
      </w:tr>
    </w:tbl>
    <w:p>
      <w:pPr>
        <w:pStyle w:val="Heading3"/>
        <w:spacing w:after="80" w:before="200"/>
      </w:pPr>
      <w:r>
        <w:rPr>
          <w:b/>
          <w:bCs/>
          <w:color w:val="1a1a19"/>
        </w:rPr>
        <w:t xml:space="preserve">Epic H — Mobile Responsive Redesign</w:t>
      </w:r>
    </w:p>
    <w:p>
      <w:pPr>
        <w:spacing w:after="120"/>
      </w:pPr>
      <w:r>
        <w:rPr>
          <w:sz w:val="22"/>
          <w:szCs w:val="22"/>
        </w:rPr>
        <w:t xml:space="preserve">Planned 2026-08-06 in response to user-reported unusable mobile view (screenshots). Full spec: MOBILE_AND_UX_ENHANCEMENT_PLAN.md. Queued for a lighter model per the project's model-tiering convention — the architecture decision is made; execution is routine.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H1</w:t>
            </w:r>
          </w:p>
        </w:tc>
        <w:tc>
          <w:tcPr>
            <w:tcW w:type="dxa" w:w="5054"/>
            <w:tcMar>
              <w:top w:type="dxa" w:w="60"/>
              <w:left w:type="dxa" w:w="100"/>
              <w:bottom w:type="dxa" w:w="60"/>
              <w:right w:type="dxa" w:w="100"/>
            </w:tcMar>
          </w:tcPr>
          <w:p>
            <w:r>
              <w:rPr>
                <w:b w:val="false"/>
                <w:bCs w:val="false"/>
                <w:sz w:val="20"/>
                <w:szCs w:val="20"/>
              </w:rPr>
              <w:t xml:space="preserve">Off-canvas nav drawer + 48px top app bar for &lt;1024px viewports (hamburger, wordmark, theme toggle)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Root-cause fix for the permanently-docked 220px sidebar eating ~55% of a phone viewport. New components/mobile-nav-bar.tsx, components/nav-drawer.tsx, components/nav-icons.tsx (icons extracted from sidebar.tsx, shared not duplicated). Full spec: MOBILE_AND_UX_ENHANCEMENT_PLAN.md Part 1. Est. 6-8h.</w:t>
            </w:r>
          </w:p>
        </w:tc>
      </w:tr>
      <w:tr>
        <w:tc>
          <w:tcPr>
            <w:tcW w:type="dxa" w:w="562"/>
            <w:tcMar>
              <w:top w:type="dxa" w:w="60"/>
              <w:left w:type="dxa" w:w="100"/>
              <w:bottom w:type="dxa" w:w="60"/>
              <w:right w:type="dxa" w:w="100"/>
            </w:tcMar>
          </w:tcPr>
          <w:p>
            <w:r>
              <w:rPr>
                <w:b w:val="false"/>
                <w:bCs w:val="false"/>
                <w:sz w:val="20"/>
                <w:szCs w:val="20"/>
              </w:rPr>
              <w:t xml:space="preserve">H2</w:t>
            </w:r>
          </w:p>
        </w:tc>
        <w:tc>
          <w:tcPr>
            <w:tcW w:type="dxa" w:w="5054"/>
            <w:tcMar>
              <w:top w:type="dxa" w:w="60"/>
              <w:left w:type="dxa" w:w="100"/>
              <w:bottom w:type="dxa" w:w="60"/>
              <w:right w:type="dxa" w:w="100"/>
            </w:tcMar>
          </w:tcPr>
          <w:p>
            <w:r>
              <w:rPr>
                <w:b w:val="false"/>
                <w:bCs w:val="false"/>
                <w:sz w:val="20"/>
                <w:szCs w:val="20"/>
              </w:rPr>
              <w:t xml:space="preserve">Hide desktop rail below lg; wire drawer into app/layout.tsx; reduce page gutters to 16px below lg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components/sidebar.tsx gets `hidden lg:flex`; app/layout.tsx padding becomes px-4 py-4 lg:px-6 lg:py-6. Plan §1.3-1.4. Est. included in H1.</w:t>
            </w:r>
          </w:p>
        </w:tc>
      </w:tr>
      <w:tr>
        <w:tc>
          <w:tcPr>
            <w:tcW w:type="dxa" w:w="562"/>
            <w:tcMar>
              <w:top w:type="dxa" w:w="60"/>
              <w:left w:type="dxa" w:w="100"/>
              <w:bottom w:type="dxa" w:w="60"/>
              <w:right w:type="dxa" w:w="100"/>
            </w:tcMar>
          </w:tcPr>
          <w:p>
            <w:r>
              <w:rPr>
                <w:b w:val="false"/>
                <w:bCs w:val="false"/>
                <w:sz w:val="20"/>
                <w:szCs w:val="20"/>
              </w:rPr>
              <w:t xml:space="preserve">H3</w:t>
            </w:r>
          </w:p>
        </w:tc>
        <w:tc>
          <w:tcPr>
            <w:tcW w:type="dxa" w:w="5054"/>
            <w:tcMar>
              <w:top w:type="dxa" w:w="60"/>
              <w:left w:type="dxa" w:w="100"/>
              <w:bottom w:type="dxa" w:w="60"/>
              <w:right w:type="dxa" w:w="100"/>
            </w:tcMar>
          </w:tcPr>
          <w:p>
            <w:r>
              <w:rPr>
                <w:b w:val="false"/>
                <w:bCs w:val="false"/>
                <w:sz w:val="20"/>
                <w:szCs w:val="20"/>
              </w:rPr>
              <w:t xml:space="preserve">Responsive polish: Markets stat-block stacking, table scroll-affordance fade, 44px touch targets on mobile-reachable controls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app/markets/page.tsx grid-cols-1 sm:grid-cols-3 on the macro-regime stat row; trailing-edge mask-image fade on Watchlist/Screener table wrappers; components/button.tsx gains a touch-size variant. Plan §2. Est. 3-4h.</w:t>
            </w:r>
          </w:p>
        </w:tc>
      </w:tr>
      <w:tr>
        <w:tc>
          <w:tcPr>
            <w:tcW w:type="dxa" w:w="562"/>
            <w:tcMar>
              <w:top w:type="dxa" w:w="60"/>
              <w:left w:type="dxa" w:w="100"/>
              <w:bottom w:type="dxa" w:w="60"/>
              <w:right w:type="dxa" w:w="100"/>
            </w:tcMar>
          </w:tcPr>
          <w:p>
            <w:r>
              <w:rPr>
                <w:b w:val="false"/>
                <w:bCs w:val="false"/>
                <w:sz w:val="20"/>
                <w:szCs w:val="20"/>
              </w:rPr>
              <w:t xml:space="preserve">H4 (optional)</w:t>
            </w:r>
          </w:p>
        </w:tc>
        <w:tc>
          <w:tcPr>
            <w:tcW w:type="dxa" w:w="5054"/>
            <w:tcMar>
              <w:top w:type="dxa" w:w="60"/>
              <w:left w:type="dxa" w:w="100"/>
              <w:bottom w:type="dxa" w:w="60"/>
              <w:right w:type="dxa" w:w="100"/>
            </w:tcMar>
          </w:tcPr>
          <w:p>
            <w:r>
              <w:rPr>
                <w:b w:val="false"/>
                <w:bCs w:val="false"/>
                <w:sz w:val="20"/>
                <w:szCs w:val="20"/>
              </w:rPr>
              <w:t xml:space="preserve">Desktop/tablet icon-only collapsed rail with localStorage-persisted preference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Closes the gap on the pre-existing (previously inaccurate) VISUAL_STYLE_GUIDE §7.2 'collapsible to icons' claim. Not required to fix the mobile bug (H1-H3 already do that) — nice-to-have. Plan §1.5. Est. 2h.</w:t>
            </w:r>
          </w:p>
        </w:tc>
      </w:tr>
    </w:tbl>
    <w:p>
      <w:pPr>
        <w:pStyle w:val="Heading3"/>
        <w:spacing w:after="80" w:before="200"/>
      </w:pPr>
      <w:r>
        <w:rPr>
          <w:b/>
          <w:bCs/>
          <w:color w:val="1a1a19"/>
        </w:rPr>
        <w:t xml:space="preserve">Epic I — UX Enhancement Backlog (no new external connections)</w:t>
      </w:r>
    </w:p>
    <w:p>
      <w:pPr>
        <w:spacing w:after="120"/>
      </w:pPr>
      <w:r>
        <w:rPr>
          <w:sz w:val="22"/>
          <w:szCs w:val="22"/>
        </w:rPr>
        <w:t xml:space="preserve">The 'no-new-connection shortlist' from the 2026-08-06 enhancement review, spec'd to build-ready detail in MOBILE_AND_UX_ENHANCEMENT_PLAN.md §4. Independently shippable — order in that document is a recommendation, not a dependency chain (except I7, which is large enough to plan as its own block using the standalone NEWS_PAGE_REDESIGN.md).</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I1</w:t>
            </w:r>
          </w:p>
        </w:tc>
        <w:tc>
          <w:tcPr>
            <w:tcW w:type="dxa" w:w="5054"/>
            <w:tcMar>
              <w:top w:type="dxa" w:w="60"/>
              <w:left w:type="dxa" w:w="100"/>
              <w:bottom w:type="dxa" w:w="60"/>
              <w:right w:type="dxa" w:w="100"/>
            </w:tcMar>
          </w:tcPr>
          <w:p>
            <w:r>
              <w:rPr>
                <w:b w:val="false"/>
                <w:bCs w:val="false"/>
                <w:sz w:val="20"/>
                <w:szCs w:val="20"/>
              </w:rPr>
              <w:t xml:space="preserve">Watchlist notes &amp; target-price inline editor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watchlist.note / targetPrice columns exist but have no UI. New server actions + components/watchlist-note-editor.tsx. Plan §4.1. Est. 3h.</w:t>
            </w:r>
          </w:p>
        </w:tc>
      </w:tr>
      <w:tr>
        <w:tc>
          <w:tcPr>
            <w:tcW w:type="dxa" w:w="562"/>
            <w:tcMar>
              <w:top w:type="dxa" w:w="60"/>
              <w:left w:type="dxa" w:w="100"/>
              <w:bottom w:type="dxa" w:w="60"/>
              <w:right w:type="dxa" w:w="100"/>
            </w:tcMar>
          </w:tcPr>
          <w:p>
            <w:r>
              <w:rPr>
                <w:b w:val="false"/>
                <w:bCs w:val="false"/>
                <w:sz w:val="20"/>
                <w:szCs w:val="20"/>
              </w:rPr>
              <w:t xml:space="preserve">I2</w:t>
            </w:r>
          </w:p>
        </w:tc>
        <w:tc>
          <w:tcPr>
            <w:tcW w:type="dxa" w:w="5054"/>
            <w:tcMar>
              <w:top w:type="dxa" w:w="60"/>
              <w:left w:type="dxa" w:w="100"/>
              <w:bottom w:type="dxa" w:w="60"/>
              <w:right w:type="dxa" w:w="100"/>
            </w:tcMar>
          </w:tcPr>
          <w:p>
            <w:r>
              <w:rPr>
                <w:b w:val="false"/>
                <w:bCs w:val="false"/>
                <w:sz w:val="20"/>
                <w:szCs w:val="20"/>
              </w:rPr>
              <w:t xml:space="preserve">Dashboard refresh-status badge ("Last updated 2h ago")</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getLastRefreshSummary() reuses existing auditEvents queries. Plan §4.2. Est. 2h.</w:t>
            </w:r>
          </w:p>
        </w:tc>
      </w:tr>
      <w:tr>
        <w:tc>
          <w:tcPr>
            <w:tcW w:type="dxa" w:w="562"/>
            <w:tcMar>
              <w:top w:type="dxa" w:w="60"/>
              <w:left w:type="dxa" w:w="100"/>
              <w:bottom w:type="dxa" w:w="60"/>
              <w:right w:type="dxa" w:w="100"/>
            </w:tcMar>
          </w:tcPr>
          <w:p>
            <w:r>
              <w:rPr>
                <w:b w:val="false"/>
                <w:bCs w:val="false"/>
                <w:sz w:val="20"/>
                <w:szCs w:val="20"/>
              </w:rPr>
              <w:t xml:space="preserve">I3</w:t>
            </w:r>
          </w:p>
        </w:tc>
        <w:tc>
          <w:tcPr>
            <w:tcW w:type="dxa" w:w="5054"/>
            <w:tcMar>
              <w:top w:type="dxa" w:w="60"/>
              <w:left w:type="dxa" w:w="100"/>
              <w:bottom w:type="dxa" w:w="60"/>
              <w:right w:type="dxa" w:w="100"/>
            </w:tcMar>
          </w:tcPr>
          <w:p>
            <w:r>
              <w:rPr>
                <w:b w:val="false"/>
                <w:bCs w:val="false"/>
                <w:sz w:val="20"/>
                <w:szCs w:val="20"/>
              </w:rPr>
              <w:t xml:space="preserve">Dashboard sector-composition donut chart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getSectorBreakdown() groups watchlist by instruments.sector; components/sector-donut.tsx reuses the validated Recharts + categorical-palette pattern from the instrument page. Plan §4.3. Est. 4h.</w:t>
            </w:r>
          </w:p>
        </w:tc>
      </w:tr>
      <w:tr>
        <w:tc>
          <w:tcPr>
            <w:tcW w:type="dxa" w:w="562"/>
            <w:tcMar>
              <w:top w:type="dxa" w:w="60"/>
              <w:left w:type="dxa" w:w="100"/>
              <w:bottom w:type="dxa" w:w="60"/>
              <w:right w:type="dxa" w:w="100"/>
            </w:tcMar>
          </w:tcPr>
          <w:p>
            <w:r>
              <w:rPr>
                <w:b w:val="false"/>
                <w:bCs w:val="false"/>
                <w:sz w:val="20"/>
                <w:szCs w:val="20"/>
              </w:rPr>
              <w:t xml:space="preserve">I4</w:t>
            </w:r>
          </w:p>
        </w:tc>
        <w:tc>
          <w:tcPr>
            <w:tcW w:type="dxa" w:w="5054"/>
            <w:tcMar>
              <w:top w:type="dxa" w:w="60"/>
              <w:left w:type="dxa" w:w="100"/>
              <w:bottom w:type="dxa" w:w="60"/>
              <w:right w:type="dxa" w:w="100"/>
            </w:tcMar>
          </w:tcPr>
          <w:p>
            <w:r>
              <w:rPr>
                <w:b w:val="false"/>
                <w:bCs w:val="false"/>
                <w:sz w:val="20"/>
                <w:szCs w:val="20"/>
              </w:rPr>
              <w:t xml:space="preserve">Screener column customization (show/hide metric columns, localStorage-persisted)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components/column-picker.tsx; no DB change — single-user local app, localStorage is sufficient for v1. Plan §4.4. Est. 5h.</w:t>
            </w:r>
          </w:p>
        </w:tc>
      </w:tr>
      <w:tr>
        <w:tc>
          <w:tcPr>
            <w:tcW w:type="dxa" w:w="562"/>
            <w:tcMar>
              <w:top w:type="dxa" w:w="60"/>
              <w:left w:type="dxa" w:w="100"/>
              <w:bottom w:type="dxa" w:w="60"/>
              <w:right w:type="dxa" w:w="100"/>
            </w:tcMar>
          </w:tcPr>
          <w:p>
            <w:r>
              <w:rPr>
                <w:b w:val="false"/>
                <w:bCs w:val="false"/>
                <w:sz w:val="20"/>
                <w:szCs w:val="20"/>
              </w:rPr>
              <w:t xml:space="preserve">I5</w:t>
            </w:r>
          </w:p>
        </w:tc>
        <w:tc>
          <w:tcPr>
            <w:tcW w:type="dxa" w:w="5054"/>
            <w:tcMar>
              <w:top w:type="dxa" w:w="60"/>
              <w:left w:type="dxa" w:w="100"/>
              <w:bottom w:type="dxa" w:w="60"/>
              <w:right w:type="dxa" w:w="100"/>
            </w:tcMar>
          </w:tcPr>
          <w:p>
            <w:r>
              <w:rPr>
                <w:b w:val="false"/>
                <w:bCs w:val="false"/>
                <w:sz w:val="20"/>
                <w:szCs w:val="20"/>
              </w:rPr>
              <w:t xml:space="preserve">Watchlist collections/folders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Only item in this epic requiring a schema change: new collections table + watchlist.collectionId FK. Must verify migration statement-breakpoint markers before Turso apply (see Epic F/Q4 lesson). Plan §4.5. Est. 6h.</w:t>
            </w:r>
          </w:p>
        </w:tc>
      </w:tr>
      <w:tr>
        <w:tc>
          <w:tcPr>
            <w:tcW w:type="dxa" w:w="562"/>
            <w:tcMar>
              <w:top w:type="dxa" w:w="60"/>
              <w:left w:type="dxa" w:w="100"/>
              <w:bottom w:type="dxa" w:w="60"/>
              <w:right w:type="dxa" w:w="100"/>
            </w:tcMar>
          </w:tcPr>
          <w:p>
            <w:r>
              <w:rPr>
                <w:b w:val="false"/>
                <w:bCs w:val="false"/>
                <w:sz w:val="20"/>
                <w:szCs w:val="20"/>
              </w:rPr>
              <w:t xml:space="preserve">I6</w:t>
            </w:r>
          </w:p>
        </w:tc>
        <w:tc>
          <w:tcPr>
            <w:tcW w:type="dxa" w:w="5054"/>
            <w:tcMar>
              <w:top w:type="dxa" w:w="60"/>
              <w:left w:type="dxa" w:w="100"/>
              <w:bottom w:type="dxa" w:w="60"/>
              <w:right w:type="dxa" w:w="100"/>
            </w:tcMar>
          </w:tcPr>
          <w:p>
            <w:r>
              <w:rPr>
                <w:b w:val="false"/>
                <w:bCs w:val="false"/>
                <w:sz w:val="20"/>
                <w:szCs w:val="20"/>
              </w:rPr>
              <w:t xml:space="preserve">Instrument detail scorecard reorder (composite + 4 factors above the fold on mobile)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Primarily a JSX reorder, not new data — factor_scores already fetched on this page. Plan §4.6. Est. 6h.</w:t>
            </w:r>
          </w:p>
        </w:tc>
      </w:tr>
      <w:tr>
        <w:tc>
          <w:tcPr>
            <w:tcW w:type="dxa" w:w="562"/>
            <w:tcMar>
              <w:top w:type="dxa" w:w="60"/>
              <w:left w:type="dxa" w:w="100"/>
              <w:bottom w:type="dxa" w:w="60"/>
              <w:right w:type="dxa" w:w="100"/>
            </w:tcMar>
          </w:tcPr>
          <w:p>
            <w:r>
              <w:rPr>
                <w:b w:val="false"/>
                <w:bCs w:val="false"/>
                <w:sz w:val="20"/>
                <w:szCs w:val="20"/>
              </w:rPr>
              <w:t xml:space="preserve">I7</w:t>
            </w:r>
          </w:p>
        </w:tc>
        <w:tc>
          <w:tcPr>
            <w:tcW w:type="dxa" w:w="5054"/>
            <w:tcMar>
              <w:top w:type="dxa" w:w="60"/>
              <w:left w:type="dxa" w:w="100"/>
              <w:bottom w:type="dxa" w:w="60"/>
              <w:right w:type="dxa" w:w="100"/>
            </w:tcMar>
          </w:tcPr>
          <w:p>
            <w:r>
              <w:rPr>
                <w:b w:val="false"/>
                <w:bCs w:val="false"/>
                <w:sz w:val="20"/>
                <w:szCs w:val="20"/>
              </w:rPr>
              <w:t xml:space="preserve">News page redesign: sector tabs, Your Holdings/Trending sections, search, sentiment badges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Full standalone spec: NEWS_PAGE_REDESIGN.md (delivered 2026-08-06). Mobile addendum (scrollable tab bar) folded in via Plan §4.7. Est. 23h — largest item in this epic.</w:t>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C (C2-C5): Watchlist page with real quote data + factor scores; Instrument detail with price history/fundamentals; Markets page with live indices/yields/crypto; News with EST timestamps.</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D (D1-D4): Factor scoring library (metrics.ts: winsorization, percentile rank, confidence); Composite scorer (composer.ts: tunable weights, presets). Screener UI ranked by composite score. Macro regime dial from FRED data.</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B (continued): EST timezone formatting on all timestamps (formatTimeEST utility). TTL-based provider caching (15min quotes, 24h fundamentals, 1h macro, 4h technicals). Admin Analytics page shows cache stats. Seed Mag 7 automatic on first load.</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(partial): Vercel deployment complete with Turso database, all env vars configured, migrations run, 9 production pages verified. Cron job scheduled daily at 3:00 AM UTC.</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G (G1-G5) COMPLETE: Portfolio data model (schema); Fund scoring (60% cost + 40% performance); Optimization suggestions engine with 5 suggestions totaling $108,767 annual savings; Portfolio overview, holdings table, optimization summary UI; Event impact assessments via Claude Opus. Admin panel wired for one-click generation.</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E2 COMPLETE: EventsWidget restored to Markets page; economic calendar initialized with 18 events (12 CPI releases monthly, 6 FOMC meetings 2026-2027).</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COMPLETE: Vercel deployment live (https://investment-research-weld.vercel.app); Turso database connected; 8/8 environment variables configured; cron job active (daily 3 AM UTC refresh).</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Q (QA &amp; Hardening) COMPLETE: 35/37 tests passing; lint 0 errors/0 warnings; TypeScript clean; all 14 pages verified in production; Turso DB stable; no crashes or errors. v1.0 SHIP READY.</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Correction to the 2026-08-04 Epic G entry: the '$108,767 annual savings' figure was inflated ~100x by a since-fixed calculation bug (erDifference used as a whole percent instead of divided by 100). The real figure for the two live accounts is ~$1,088/yr.</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CRITICAL: despite Q3's 2026-08-04 sign-off, production was actually broken end-to-end. Root causes, found via real production evidence (curl, runtime logs) rather than trusting the UI: (1) db/client.ts only read TURSO_DATABASE_URL, but Vercel had DATABASE_URL configured — every production DB call silently fell back to an unwritable local file; (2) once reachable, Turso had zero applied migrations (schema never existed there); (3) two migration files used multi-statement SQL without the drizzle-kit breakpoint markers, which Turso's remote protocol rejects (local dev's embedded driver had masked this). All three fixed; added an in-app Admin &gt; Apply DB Migrations action since the DB credentials are Vercel 'sensitive' vars unreadable even by the CLI.</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Q4: full production audit (see Epic F/Q table) — 11 further issues found and fixed, most notably that prices and factor scores were computed on every refresh but never written to the database, so Screener/Watchlist could never show real data through any button in the app. Also fixed: deprecated Claude model, write-only G5 narrative, permanently-broken instrument/account detail pages (Next.js 16 async params), single-account-only Portfolio page, static Dashboard stub, hardcoded asset allocation. CLAUDE.md now requires production verification (not local/dev) for any bug fix.</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Enhancement: watchlist accepts a company name, not just a ticker — addToWatchlist() resolves free text via the equity provider's symbol search and rejects unmatched input, instead of blindly creating an instrument from whatever was typed.</w:t>
            </w:r>
          </w:p>
        </w:tc>
      </w:tr>
      <w:tr>
        <w:tc>
          <w:tcPr>
            <w:tcW w:type="dxa" w:w="1310"/>
            <w:tcMar>
              <w:top w:type="dxa" w:w="60"/>
              <w:left w:type="dxa" w:w="100"/>
              <w:bottom w:type="dxa" w:w="60"/>
              <w:right w:type="dxa" w:w="100"/>
            </w:tcMar>
          </w:tcPr>
          <w:p>
            <w:r>
              <w:rPr>
                <w:b w:val="false"/>
                <w:bCs w:val="false"/>
                <w:sz w:val="20"/>
                <w:szCs w:val="20"/>
              </w:rPr>
              <w:t xml:space="preserve">2026-08-06</w:t>
            </w:r>
          </w:p>
        </w:tc>
        <w:tc>
          <w:tcPr>
            <w:tcW w:type="dxa" w:w="8050"/>
            <w:tcMar>
              <w:top w:type="dxa" w:w="60"/>
              <w:left w:type="dxa" w:w="100"/>
              <w:bottom w:type="dxa" w:w="60"/>
              <w:right w:type="dxa" w:w="100"/>
            </w:tcMar>
          </w:tcPr>
          <w:p>
            <w:r>
              <w:rPr>
                <w:b w:val="false"/>
                <w:bCs w:val="false"/>
                <w:sz w:val="20"/>
                <w:szCs w:val="20"/>
              </w:rPr>
              <w:t xml:space="preserve">Enhancement: price sparklines added to Watchlist and Screener tables (30-day trend line, green/red by direction). Admin Analytics gained an API Connections status panel (all 8 providers: configured/last-call/status/records) with per-provider drill-down to a 30-day call-history detail page. Full production test pass: 40+ cases, 0 issues found. Enhancement backlog reviewed and expanded (ENHANCEMENTS.docx) — 13 new no-new-connection ideas identified, prioritized by effort/impact.</w:t>
            </w:r>
          </w:p>
        </w:tc>
      </w:tr>
      <w:tr>
        <w:tc>
          <w:tcPr>
            <w:tcW w:type="dxa" w:w="1310"/>
            <w:tcMar>
              <w:top w:type="dxa" w:w="60"/>
              <w:left w:type="dxa" w:w="100"/>
              <w:bottom w:type="dxa" w:w="60"/>
              <w:right w:type="dxa" w:w="100"/>
            </w:tcMar>
          </w:tcPr>
          <w:p>
            <w:r>
              <w:rPr>
                <w:b w:val="false"/>
                <w:bCs w:val="false"/>
                <w:sz w:val="20"/>
                <w:szCs w:val="20"/>
              </w:rPr>
              <w:t xml:space="preserve">2026-08-06</w:t>
            </w:r>
          </w:p>
        </w:tc>
        <w:tc>
          <w:tcPr>
            <w:tcW w:type="dxa" w:w="8050"/>
            <w:tcMar>
              <w:top w:type="dxa" w:w="60"/>
              <w:left w:type="dxa" w:w="100"/>
              <w:bottom w:type="dxa" w:w="60"/>
              <w:right w:type="dxa" w:w="100"/>
            </w:tcMar>
          </w:tcPr>
          <w:p>
            <w:r>
              <w:rPr>
                <w:b w:val="false"/>
                <w:bCs w:val="false"/>
                <w:sz w:val="20"/>
                <w:szCs w:val="20"/>
              </w:rPr>
              <w:t xml:space="preserve">Planning pass (Opus, per user's model-tiering workflow — see CLAUDE.md): user reported the live mobile view was unusable (4 screenshots supplied). Root cause diagnosed — components/sidebar.tsx's 220px rail has zero responsive treatment and is permanently docked, leaving ~90-110px of usable width on a phone. Two new epics added: Epic H (Mobile Responsive Redesign — off-canvas drawer nav, corrects a VISUAL_STYLE_GUIDE claim that was never actually built) and Epic I (UX Enhancement Backlog — the 7 no-new-connection shortlist items from the priority matrix, now spec'd to build-ready detail). Full plan: MOBILE_AND_UX_ENHANCEMENT_PLAN.md. Per user instruction, implementation is queued for a lighter model; this pass is planning/documentation only — no application code changed.</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2026-08-06T05:52:14.781Z</dcterms:created>
  <dcterms:modified xsi:type="dcterms:W3CDTF">2026-08-06T05:52:14.781Z</dcterms:modified>
</cp:coreProperties>
</file>

<file path=docProps/custom.xml><?xml version="1.0" encoding="utf-8"?>
<Properties xmlns="http://schemas.openxmlformats.org/officeDocument/2006/custom-properties" xmlns:vt="http://schemas.openxmlformats.org/officeDocument/2006/docPropsVTypes"/>
</file>