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left"/>
      </w:pPr>
      <w:r>
        <w:rPr>
          <w:b/>
          <w:bCs/>
          <w:color w:val="1a1a19"/>
          <w:sz w:val="56"/>
          <w:szCs w:val="56"/>
        </w:rPr>
        <w:t xml:space="preserve">Technical Specification</w:t>
      </w:r>
    </w:p>
    <w:p>
      <w:pPr>
        <w:spacing w:after="120"/>
      </w:pPr>
      <w:r>
        <w:rPr>
          <w:color w:val="52514e"/>
          <w:sz w:val="26"/>
          <w:szCs w:val="26"/>
        </w:rPr>
        <w:t xml:space="preserve">Investment Research Dashboard</w:t>
      </w:r>
    </w:p>
    <w:p>
      <w:pPr>
        <w:spacing w:after="120"/>
      </w:pPr>
      <w:r>
        <w:rPr>
          <w:i/>
          <w:iCs/>
          <w:color w:val="52514e"/>
          <w:sz w:val="20"/>
          <w:szCs w:val="20"/>
        </w:rPr>
        <w:t xml:space="preserve">Last updated: 2026-08-04</w:t>
      </w:r>
    </w:p>
    <w:p>
      <w:pPr>
        <w:pStyle w:val="Heading1"/>
      </w:pPr>
      <w:r>
        <w:rPr>
          <w:b/>
          <w:bCs/>
          <w:color w:val="1a1a19"/>
        </w:rPr>
        <w:t xml:space="preserve">1. Overview</w:t>
      </w:r>
    </w:p>
    <w:p>
      <w:pPr>
        <w:spacing w:after="120"/>
      </w:pPr>
      <w:r>
        <w:rPr>
          <w:sz w:val="22"/>
          <w:szCs w:val="22"/>
        </w:rPr>
        <w:t xml:space="preserve">A single-user investment-research dashboard aggregating market data, fundamentals, macro indicators, and news for stocks, ETFs, crypto, and bonds. Data arrives through provider-agnostic connectors on free tiers, is cached in a local SQL database, and feeds a deterministic factor-scoring engine that ranks candidates transparently. The app runs locally on macOS and deploys to Vercel unchanged.</w:t>
      </w:r>
    </w:p>
    <w:p>
      <w:pPr>
        <w:pStyle w:val="Heading1"/>
      </w:pPr>
      <w:r>
        <w:rPr>
          <w:b/>
          <w:bCs/>
          <w:color w:val="1a1a19"/>
        </w:rPr>
        <w:t xml:space="preserve">2. Architecture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Web app: </w:t>
      </w:r>
      <w:r>
        <w:rPr>
          <w:sz w:val="22"/>
          <w:szCs w:val="22"/>
        </w:rPr>
        <w:t xml:space="preserve">Next.js 16 (App Router) + React 19 + TypeScript. Server components/route handlers do all data access; API keys never reach the client.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Connector layer: </w:t>
      </w:r>
      <w:r>
        <w:rPr>
          <w:sz w:val="22"/>
          <w:szCs w:val="22"/>
        </w:rPr>
        <w:t xml:space="preserve">lib/providers/* — one interface per data domain (quotes, history, fundamentals, crypto, macro, news), with concrete free-tier implementations. Provider choice is env-driven (B7), so upgrading to a paid provider is configuration, not a rewrite.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Storage: </w:t>
      </w:r>
      <w:r>
        <w:rPr>
          <w:sz w:val="22"/>
          <w:szCs w:val="22"/>
        </w:rPr>
        <w:t xml:space="preserve">libSQL via Drizzle ORM. Locally a plain file (file:local.db); on Vercel the same client points at Turso (free tier). Identical SQLite semantics both places.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Refresh pipeline: </w:t>
      </w:r>
      <w:r>
        <w:rPr>
          <w:sz w:val="22"/>
          <w:szCs w:val="22"/>
        </w:rPr>
        <w:t xml:space="preserve">npm run refresh locally; on Vercel a cron job calls /api/refresh, guarded by CRON_SECRET. Connectors cache responses and respect per-provider rate limits.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Signal engine: </w:t>
      </w:r>
      <w:r>
        <w:rPr>
          <w:sz w:val="22"/>
          <w:szCs w:val="22"/>
        </w:rPr>
        <w:t xml:space="preserve">pure TypeScript functions (lib/signals/*) over the cached data — deterministic, unit-tested, no network access at score time.</w:t>
      </w:r>
    </w:p>
    <w:p>
      <w:pPr>
        <w:pStyle w:val="Heading1"/>
      </w:pPr>
      <w:r>
        <w:rPr>
          <w:b/>
          <w:bCs/>
          <w:color w:val="1a1a19"/>
        </w:rPr>
        <w:t xml:space="preserve">3. Tech Stack</w:t>
      </w:r>
    </w:p>
    <w:tbl>
      <w:tblPr>
        <w:tblW w:type="dxa" w:w="9360"/>
        <w:tblBorders>
          <w:top w:val="single" w:color="c3c2b7" w:sz="4"/>
          <w:left w:val="single" w:color="c3c2b7" w:sz="4"/>
          <w:bottom w:val="single" w:color="c3c2b7" w:sz="4"/>
          <w:right w:val="single" w:color="c3c2b7" w:sz="4"/>
          <w:insideH w:val="single" w:color="c3c2b7" w:sz="4"/>
          <w:insideV w:val="single" w:color="c3c2b7" w:sz="4"/>
        </w:tblBorders>
        <w:tblLayout w:type="fixed"/>
      </w:tblPr>
      <w:tblGrid>
        <w:gridCol w:w="1498"/>
        <w:gridCol w:w="2808"/>
        <w:gridCol w:w="5054"/>
      </w:tblGrid>
      <w:tr>
        <w:trPr>
          <w:tblHeader/>
        </w:trPr>
        <w:tc>
          <w:tcPr>
            <w:tcW w:type="dxa" w:w="1498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2808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Choice</w:t>
            </w:r>
          </w:p>
        </w:tc>
        <w:tc>
          <w:tcPr>
            <w:tcW w:type="dxa" w:w="5054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Why / tradeoff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Framework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Next.js 16.3, React 19.2, TypeScript 5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language end-to-end; Vercel-native. Python has richer finance libs but doubles the maintenance surface.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Styling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Tailwind CSS 4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Token-driven; style-guide values map to CSS variables.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libSQL + Drizzle ORM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SQLite locally, Turso on Vercel — plain better-sqlite3 was rejected because Vercel's filesystem is ephemeral.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Testing / Lint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Vitest 4 / ESLint 9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Fast, TS-native; lint ships with the scaffold.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Charts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Recharts (planned, Epic C)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Declarative, fits the dataviz method; revisit for candlesticks if needed.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(equities/ETFs)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yahoo-finance2 (free, unofficial)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Rich quotes/history/fundamentals at $0. Risk: unofficial API can break — mitigated by the provider interface; FMP (~$30–50/mo) is the named upgrade.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(crypto)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CoinGecko free tier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Solid free coverage of prices/mcap/volume.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(macro/rates)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FRED API (free key)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Authoritative yields, curve, CPI, unemployment.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(news/filings)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RSS feeds + SEC EDGAR (free)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Headlines and filings; paid news APIs are a later upgrade.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Docs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docx npm package via scripts/gen-docs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.docx are generated; never hand-edited.</w:t>
            </w:r>
          </w:p>
        </w:tc>
      </w:tr>
    </w:tbl>
    <w:p>
      <w:pPr>
        <w:pStyle w:val="Heading1"/>
      </w:pPr>
      <w:r>
        <w:rPr>
          <w:b/>
          <w:bCs/>
          <w:color w:val="1a1a19"/>
        </w:rPr>
        <w:t xml:space="preserve">4. Data Model (v1 plan — implemented in Epic B1)</w:t>
      </w:r>
    </w:p>
    <w:tbl>
      <w:tblPr>
        <w:tblW w:type="dxa" w:w="9360"/>
        <w:tblBorders>
          <w:top w:val="single" w:color="c3c2b7" w:sz="4"/>
          <w:left w:val="single" w:color="c3c2b7" w:sz="4"/>
          <w:bottom w:val="single" w:color="c3c2b7" w:sz="4"/>
          <w:right w:val="single" w:color="c3c2b7" w:sz="4"/>
          <w:insideH w:val="single" w:color="c3c2b7" w:sz="4"/>
          <w:insideV w:val="single" w:color="c3c2b7" w:sz="4"/>
        </w:tblBorders>
        <w:tblLayout w:type="fixed"/>
      </w:tblPr>
      <w:tblGrid>
        <w:gridCol w:w="1872"/>
        <w:gridCol w:w="3182"/>
        <w:gridCol w:w="4306"/>
      </w:tblGrid>
      <w:tr>
        <w:trPr>
          <w:tblHeader/>
        </w:trPr>
        <w:tc>
          <w:tcPr>
            <w:tcW w:type="dxa" w:w="1872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dxa" w:w="3182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4306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instruments</w:t>
            </w:r>
          </w:p>
        </w:tc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Everything trackable: stock, ETF, crypto, bond-proxy, index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symbol, name, assetClass, sector, currency, active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prices_daily</w:t>
            </w:r>
          </w:p>
        </w:tc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EOD OHLCV history per instrument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instrumentId, date, open, high, low, close, volume (unique instrumentId+date)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fundamentals_snapshots</w:t>
            </w:r>
          </w:p>
        </w:tc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Point-in-time fundamentals per instrument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instrumentId, asOf, metric, value (long/narrow — new metrics need no migration)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factor_scores</w:t>
            </w:r>
          </w:p>
        </w:tc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Output of each scoring run, kept for history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instrumentId, runAt, factor, rawScore, percentile, weightsPresetId, confidence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watchlist</w:t>
            </w:r>
          </w:p>
        </w:tc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User's tracked instruments + notes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instrumentId, addedAt, note, targetPrice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macro_series</w:t>
            </w:r>
          </w:p>
        </w:tc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FRED series observations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seriesId, date, value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news_items</w:t>
            </w:r>
          </w:p>
        </w:tc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Ingested headlines with ticker tags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publishedAt, source, title, url, tickersCsv, dedupeHash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provider_cache</w:t>
            </w:r>
          </w:p>
        </w:tc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Raw API response cache with TTL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cacheKey, fetchedAt, ttlSeconds, payloadJson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accounts</w:t>
            </w:r>
          </w:p>
        </w:tc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User's accounts (two Transamerica retirement plans to start)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name, institution, taxType (401k/IRA/taxable), createdAt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holdings</w:t>
            </w:r>
          </w:p>
        </w:tc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Positions per account, manually entered or CSV-imported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accountId, planFundId, units, balance, asOf, source (manual|csv)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plan_menu</w:t>
            </w:r>
          </w:p>
        </w:tc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investable fund lineup of each retirement plan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accountId, planFundId, fundName, assetClassSlot, expenseRatio, active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proxy_map</w:t>
            </w:r>
          </w:p>
        </w:tc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 fund → nearest public instrument for scoring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planFundId, instrumentId, mappingNote, confidence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assessments</w:t>
            </w:r>
          </w:p>
        </w:tc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Generated portfolio assessments with their evidence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accountId, runAt, deterministicJson, narrativeText, citedEventIdsCsv, modelId</w:t>
            </w:r>
          </w:p>
        </w:tc>
      </w:tr>
    </w:tbl>
    <w:p>
      <w:pPr>
        <w:spacing w:after="120"/>
      </w:pPr>
      <w:r>
        <w:rPr>
          <w:i/>
          <w:iCs/>
          <w:color w:val="52514e"/>
          <w:sz w:val="20"/>
          <w:szCs w:val="20"/>
        </w:rPr>
        <w:t xml:space="preserve">Long/narrow fundamentals and a persisted score history are deliberate: metrics vary by provider, and score history enables later backtesting without schema changes.</w:t>
      </w:r>
    </w:p>
    <w:p>
      <w:pPr>
        <w:pStyle w:val="Heading1"/>
      </w:pPr>
      <w:r>
        <w:rPr>
          <w:b/>
          <w:bCs/>
          <w:color w:val="1a1a19"/>
        </w:rPr>
        <w:t xml:space="preserve">5. Key Decisions &amp; Tradeoffs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Free tier now, upgrade by config (user decision 2026-08-03): </w:t>
      </w:r>
      <w:r>
        <w:rPr>
          <w:sz w:val="22"/>
          <w:szCs w:val="22"/>
        </w:rPr>
        <w:t xml:space="preserve">every provider sits behind an interface; the paid swap touches env vars and one adapter file.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Vercel-deployable from day one (user decision 2026-08-03): </w:t>
      </w:r>
      <w:r>
        <w:rPr>
          <w:sz w:val="22"/>
          <w:szCs w:val="22"/>
        </w:rPr>
        <w:t xml:space="preserve">drove libSQL-over-SQLite-file, the /api/refresh cron shape, and keeping secrets server-side.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Deterministic scores, LLM for narrative only (user decision 2026-08-03): </w:t>
      </w:r>
      <w:r>
        <w:rPr>
          <w:sz w:val="22"/>
          <w:szCs w:val="22"/>
        </w:rPr>
        <w:t xml:space="preserve">auditability and backtestability beat flexibility; an LLM can misread numbers with confidence.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Bonds via macro + ETF proxies in v1: </w:t>
      </w:r>
      <w:r>
        <w:rPr>
          <w:sz w:val="22"/>
          <w:szCs w:val="22"/>
        </w:rPr>
        <w:t xml:space="preserve">individual-bond data is premium-priced and fragmented; the yield curve and bond ETFs carry most of a personal investor's decision weight.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Crypto scored on its own scale: </w:t>
      </w:r>
      <w:r>
        <w:rPr>
          <w:sz w:val="22"/>
          <w:szCs w:val="22"/>
        </w:rPr>
        <w:t xml:space="preserve">no earnings → no valuation factor; comparing a crypto score to an equity score would be false precision.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Transamerica holdings via manual entry + CSV (user decision 2026-08-03): </w:t>
      </w:r>
      <w:r>
        <w:rPr>
          <w:sz w:val="22"/>
          <w:szCs w:val="22"/>
        </w:rPr>
        <w:t xml:space="preserve">no public API exists for individuals; aggregators (Plaid/SnapTrade) add cost, third-party credential sharing, and spotty retirement-plan coverage. 401(k) holdings change slowly, so manual burden is low. Aggregator sync stays on the enhancements list.</w:t>
      </w:r>
    </w:p>
    <w:p>
      <w:pPr>
        <w:pStyle w:val="Heading1"/>
      </w:pPr>
      <w:r>
        <w:rPr>
          <w:b/>
          <w:bCs/>
          <w:color w:val="1a1a19"/>
        </w:rPr>
        <w:t xml:space="preserve">6. Signal Logic (detailed — kept current with the code, per user instruction)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Goal: rank instruments by the likelihood that they are attractive investments, using transparent rules a human can audit. Every composite score can be decomposed to the exact metrics, raw values, percentiles, and weights that produced it. Nothing in this section is produced by an LLM.</w:t>
      </w:r>
    </w:p>
    <w:p>
      <w:pPr>
        <w:pStyle w:val="Heading2"/>
        <w:spacing w:after="120" w:before="280"/>
      </w:pPr>
      <w:r>
        <w:rPr>
          <w:b/>
          <w:bCs/>
          <w:color w:val="2a78d6"/>
        </w:rPr>
        <w:t xml:space="preserve">6.1 Universe &amp; comparison groups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Scored universe = the user's watchlist plus a configurable base universe (initially S&amp;P 500 constituents + a curated ETF list). Crypto universe: top ~100 by market cap, memecoins excluded by default.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Valuation and quality percentiles are computed within sector (a bank's P/B vs banks, not vs software). Momentum percentiles are computed across the whole equity universe, because momentum is a cross-sectional phenomenon.</w:t>
      </w:r>
    </w:p>
    <w:p>
      <w:pPr>
        <w:pStyle w:val="Heading2"/>
        <w:spacing w:after="120" w:before="280"/>
      </w:pPr>
      <w:r>
        <w:rPr>
          <w:b/>
          <w:bCs/>
          <w:color w:val="2a78d6"/>
        </w:rPr>
        <w:t xml:space="preserve">6.2 Factor families (equities)</w:t>
      </w:r>
    </w:p>
    <w:p>
      <w:pPr>
        <w:pStyle w:val="Heading3"/>
        <w:spacing w:after="80" w:before="200"/>
      </w:pPr>
      <w:r>
        <w:rPr>
          <w:b/>
          <w:bCs/>
          <w:color w:val="1a1a19"/>
        </w:rPr>
        <w:t xml:space="preserve">Valuation — is it cheap for what it is?</w:t>
      </w:r>
    </w:p>
    <w:tbl>
      <w:tblPr>
        <w:tblW w:type="dxa" w:w="9360"/>
        <w:tblBorders>
          <w:top w:val="single" w:color="c3c2b7" w:sz="4"/>
          <w:left w:val="single" w:color="c3c2b7" w:sz="4"/>
          <w:bottom w:val="single" w:color="c3c2b7" w:sz="4"/>
          <w:right w:val="single" w:color="c3c2b7" w:sz="4"/>
          <w:insideH w:val="single" w:color="c3c2b7" w:sz="4"/>
          <w:insideV w:val="single" w:color="c3c2b7" w:sz="4"/>
        </w:tblBorders>
        <w:tblLayout w:type="fixed"/>
      </w:tblPr>
      <w:tblGrid>
        <w:gridCol w:w="3182"/>
        <w:gridCol w:w="2059"/>
        <w:gridCol w:w="4118"/>
      </w:tblGrid>
      <w:tr>
        <w:trPr>
          <w:tblHeader/>
        </w:trPr>
        <w:tc>
          <w:tcPr>
            <w:tcW w:type="dxa" w:w="3182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2059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Direction</w:t>
            </w:r>
          </w:p>
        </w:tc>
        <w:tc>
          <w:tcPr>
            <w:tcW w:type="dxa" w:w="4118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P/E (trailing 12m)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lower = better</w:t>
            </w:r>
          </w:p>
        </w:tc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Ignored if earnings ≤ 0 (does not default to 'expensive')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Forward P/E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lower = better</w:t>
            </w:r>
          </w:p>
        </w:tc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Only when analyst estimates exist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 / EBITDA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lower = better</w:t>
            </w:r>
          </w:p>
        </w:tc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Capital-structure-neutral cross-check on P/E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P/S (trailing)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lower = better</w:t>
            </w:r>
          </w:p>
        </w:tc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Carries weight when earnings are negative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P/B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lower = better</w:t>
            </w:r>
          </w:p>
        </w:tc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Sector-sensitive; only meaningful within sector group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FCF yield (FCF / market cap)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higher = better</w:t>
            </w:r>
          </w:p>
        </w:tc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hardest metric to game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1a1a19"/>
        </w:rPr>
        <w:t xml:space="preserve">Growth — is the business expanding?</w:t>
      </w:r>
    </w:p>
    <w:tbl>
      <w:tblPr>
        <w:tblW w:type="dxa" w:w="9360"/>
        <w:tblBorders>
          <w:top w:val="single" w:color="c3c2b7" w:sz="4"/>
          <w:left w:val="single" w:color="c3c2b7" w:sz="4"/>
          <w:bottom w:val="single" w:color="c3c2b7" w:sz="4"/>
          <w:right w:val="single" w:color="c3c2b7" w:sz="4"/>
          <w:insideH w:val="single" w:color="c3c2b7" w:sz="4"/>
          <w:insideV w:val="single" w:color="c3c2b7" w:sz="4"/>
        </w:tblBorders>
        <w:tblLayout w:type="fixed"/>
      </w:tblPr>
      <w:tblGrid>
        <w:gridCol w:w="3182"/>
        <w:gridCol w:w="2059"/>
        <w:gridCol w:w="4118"/>
      </w:tblGrid>
      <w:tr>
        <w:trPr>
          <w:tblHeader/>
        </w:trPr>
        <w:tc>
          <w:tcPr>
            <w:tcW w:type="dxa" w:w="3182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2059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Direction</w:t>
            </w:r>
          </w:p>
        </w:tc>
        <w:tc>
          <w:tcPr>
            <w:tcW w:type="dxa" w:w="4118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Revenue growth, 3y CAGR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higher = better</w:t>
            </w:r>
          </w:p>
        </w:tc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Smooths one-off years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Revenue growth, TTM YoY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higher = better</w:t>
            </w:r>
          </w:p>
        </w:tc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Captures inflections the CAGR hides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EPS growth, TTM YoY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higher = better</w:t>
            </w:r>
          </w:p>
        </w:tc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Ignored when base-year EPS ≤ 0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FCF growth, 3y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higher = better</w:t>
            </w:r>
          </w:p>
        </w:tc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Growth that isn't accrual accounting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1a1a19"/>
        </w:rPr>
        <w:t xml:space="preserve">Quality — is it a good business?</w:t>
      </w:r>
    </w:p>
    <w:tbl>
      <w:tblPr>
        <w:tblW w:type="dxa" w:w="9360"/>
        <w:tblBorders>
          <w:top w:val="single" w:color="c3c2b7" w:sz="4"/>
          <w:left w:val="single" w:color="c3c2b7" w:sz="4"/>
          <w:bottom w:val="single" w:color="c3c2b7" w:sz="4"/>
          <w:right w:val="single" w:color="c3c2b7" w:sz="4"/>
          <w:insideH w:val="single" w:color="c3c2b7" w:sz="4"/>
          <w:insideV w:val="single" w:color="c3c2b7" w:sz="4"/>
        </w:tblBorders>
        <w:tblLayout w:type="fixed"/>
      </w:tblPr>
      <w:tblGrid>
        <w:gridCol w:w="3182"/>
        <w:gridCol w:w="2059"/>
        <w:gridCol w:w="4118"/>
      </w:tblGrid>
      <w:tr>
        <w:trPr>
          <w:tblHeader/>
        </w:trPr>
        <w:tc>
          <w:tcPr>
            <w:tcW w:type="dxa" w:w="3182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2059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Direction</w:t>
            </w:r>
          </w:p>
        </w:tc>
        <w:tc>
          <w:tcPr>
            <w:tcW w:type="dxa" w:w="4118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Return on equity (ROE)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higher = better</w:t>
            </w:r>
          </w:p>
        </w:tc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Capped consideration when driven by extreme leverage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Return on invested capital (ROIC)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higher = better</w:t>
            </w:r>
          </w:p>
        </w:tc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Preferred over ROE where computable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Gross margin + 3y trend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higher / improving = better</w:t>
            </w:r>
          </w:p>
        </w:tc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Pricing power proxy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Operating margin + 3y trend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higher / improving = better</w:t>
            </w:r>
          </w:p>
        </w:tc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Debt / equity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lower = better</w:t>
            </w:r>
          </w:p>
        </w:tc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Sector-relative (utilities vs software)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Interest coverage (EBIT / interest)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higher = better</w:t>
            </w:r>
          </w:p>
        </w:tc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Distress guard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1a1a19"/>
        </w:rPr>
        <w:t xml:space="preserve">Momentum — is the market agreeing?</w:t>
      </w:r>
    </w:p>
    <w:tbl>
      <w:tblPr>
        <w:tblW w:type="dxa" w:w="9360"/>
        <w:tblBorders>
          <w:top w:val="single" w:color="c3c2b7" w:sz="4"/>
          <w:left w:val="single" w:color="c3c2b7" w:sz="4"/>
          <w:bottom w:val="single" w:color="c3c2b7" w:sz="4"/>
          <w:right w:val="single" w:color="c3c2b7" w:sz="4"/>
          <w:insideH w:val="single" w:color="c3c2b7" w:sz="4"/>
          <w:insideV w:val="single" w:color="c3c2b7" w:sz="4"/>
        </w:tblBorders>
        <w:tblLayout w:type="fixed"/>
      </w:tblPr>
      <w:tblGrid>
        <w:gridCol w:w="3182"/>
        <w:gridCol w:w="2059"/>
        <w:gridCol w:w="4118"/>
      </w:tblGrid>
      <w:tr>
        <w:trPr>
          <w:tblHeader/>
        </w:trPr>
        <w:tc>
          <w:tcPr>
            <w:tcW w:type="dxa" w:w="3182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2059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Direction</w:t>
            </w:r>
          </w:p>
        </w:tc>
        <w:tc>
          <w:tcPr>
            <w:tcW w:type="dxa" w:w="4118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12-month return, skipping the most recent month (12-1)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higher = better</w:t>
            </w:r>
          </w:p>
        </w:tc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classic academic momentum measure; the skip avoids short-term reversal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6-month return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higher = better</w:t>
            </w:r>
          </w:p>
        </w:tc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Price vs 200-day moving average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above = better</w:t>
            </w:r>
          </w:p>
        </w:tc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Trend filter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Distance from 52-week high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closer = better</w:t>
            </w:r>
          </w:p>
        </w:tc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Anchoring/breakout proxy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Return relative to benchmark (SPY), 6m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higher = better</w:t>
            </w:r>
          </w:p>
        </w:tc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Separates stock strength from market strength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a78d6"/>
        </w:rPr>
        <w:t xml:space="preserve">6.3 Normalization — from raw metrics to scores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Winsorize: </w:t>
      </w:r>
      <w:r>
        <w:rPr>
          <w:sz w:val="22"/>
          <w:szCs w:val="22"/>
        </w:rPr>
        <w:t xml:space="preserve">each metric is clamped at its 2nd and 98th percentile within the comparison group, so one broken value (a 40,000% growth print from a near-zero base) cannot distort the distribution.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Percentile rank: </w:t>
      </w:r>
      <w:r>
        <w:rPr>
          <w:sz w:val="22"/>
          <w:szCs w:val="22"/>
        </w:rPr>
        <w:t xml:space="preserve">the winsorized value maps to 0–100 within its comparison group, direction-adjusted so 100 is always 'good' (cheap valuation, high growth, high quality, strong momentum).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Factor score: </w:t>
      </w:r>
      <w:r>
        <w:rPr>
          <w:sz w:val="22"/>
          <w:szCs w:val="22"/>
        </w:rPr>
        <w:t xml:space="preserve">equal-weighted mean of that factor's available metric percentiles.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Missing data policy: </w:t>
      </w:r>
      <w:r>
        <w:rPr>
          <w:sz w:val="22"/>
          <w:szCs w:val="22"/>
        </w:rPr>
        <w:t xml:space="preserve">a missing metric is excluded and the remaining metrics reweighted — never imputed to the median. If fewer than half a factor's metrics exist, the factor is flagged low-confidence, shown with a warning, and the composite carries the flag. Low-confidence names are never silently ranked as average.</w:t>
      </w:r>
    </w:p>
    <w:p>
      <w:pPr>
        <w:pStyle w:val="Heading2"/>
        <w:spacing w:after="120" w:before="280"/>
      </w:pPr>
      <w:r>
        <w:rPr>
          <w:b/>
          <w:bCs/>
          <w:color w:val="2a78d6"/>
        </w:rPr>
        <w:t xml:space="preserve">6.4 Composite score &amp; presets</w:t>
      </w:r>
    </w:p>
    <w:p>
      <w:pPr>
        <w:spacing w:after="120"/>
      </w:pPr>
      <w:r>
        <w:rPr>
          <w:sz w:val="22"/>
          <w:szCs w:val="22"/>
        </w:rPr>
        <w:t xml:space="preserve">Composite (0–100) = weighted mean of the four factor scores. Default preset is Balanced: 25% valuation, 25% growth, 25% quality, 25% momentum. Named presets shift emphasis: Value tilt (40/15/30/15), Growth tilt (15/40/25/20), Quality tilt (20/20/45/15). Weights are user-tunable; every screener result records which preset produced 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Auditability rule: </w:t>
      </w:r>
      <w:r>
        <w:rPr>
          <w:sz w:val="22"/>
          <w:szCs w:val="22"/>
        </w:rPr>
        <w:t xml:space="preserve">clicking any score opens its decomposition — every metric's raw value, winsorized value, percentile, comparison group, and weight. If a score can't explain itself, it doesn't ship.</w:t>
      </w:r>
    </w:p>
    <w:p>
      <w:pPr>
        <w:pStyle w:val="Heading2"/>
        <w:spacing w:after="120" w:before="280"/>
      </w:pPr>
      <w:r>
        <w:rPr>
          <w:b/>
          <w:bCs/>
          <w:color w:val="2a78d6"/>
        </w:rPr>
        <w:t xml:space="preserve">6.5 ETFs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Momentum: same as equities.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Cost &amp; structure: expense ratio (lower better), AUM and average spread (liquidity guards), holdings concentration (top-10 weight).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Look-through valuation (fund-level P/E, P/B) where the provider reports it — labeled as fund-reported, not computed.</w:t>
      </w:r>
    </w:p>
    <w:p>
      <w:pPr>
        <w:pStyle w:val="Heading2"/>
        <w:spacing w:after="120" w:before="280"/>
      </w:pPr>
      <w:r>
        <w:rPr>
          <w:b/>
          <w:bCs/>
          <w:color w:val="2a78d6"/>
        </w:rPr>
        <w:t xml:space="preserve">6.6 Crypto (separate scale — never merged with equity scores)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Momentum: 12-1 and 6-month returns, distance from all-time high.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Market structure: market-cap rank stability (rank decay is a red flag), volume/market-cap ratio (liquidity), max drawdown depth/recovery.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Dilution: circulating vs max supply and scheduled emissions — the crypto analogue of share dilution.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Explicit non-claim: these are trading/quality signals, not intrinsic-value estimates; the UI labels them as such.</w:t>
      </w:r>
    </w:p>
    <w:p>
      <w:pPr>
        <w:pStyle w:val="Heading2"/>
        <w:spacing w:after="120" w:before="280"/>
      </w:pPr>
      <w:r>
        <w:rPr>
          <w:b/>
          <w:bCs/>
          <w:color w:val="2a78d6"/>
        </w:rPr>
        <w:t xml:space="preserve">6.7 Bonds &amp; rates (regime dial, not per-security scores)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Yield-curve slope (10y minus 2y, FRED): inversion → caution regime.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Credit spreads (high-yield OAS): widening → risk-off regime.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Real yields (10y TIPS): the discount-rate headwind/tailwind for risk assets.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The regime dial contextualizes equity/crypto scores (e.g. 'risk-off: momentum less reliable') and guides duration choice among bond ETFs; it does not alter factor scores.</w:t>
      </w:r>
    </w:p>
    <w:p>
      <w:pPr>
        <w:pStyle w:val="Heading2"/>
        <w:spacing w:after="120" w:before="280"/>
      </w:pPr>
      <w:r>
        <w:rPr>
          <w:b/>
          <w:bCs/>
          <w:color w:val="2a78d6"/>
        </w:rPr>
        <w:t xml:space="preserve">6.8 Update cadence &amp; determinism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Prices refresh daily (EOD, free-tier delayed); fundamentals weekly or on-demand; macro series on their release cadence.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Scoring runs after each refresh and is persisted to factor_scores with a runAt timestamp — reruns over the same data give identical results.</w:t>
      </w:r>
    </w:p>
    <w:p>
      <w:pPr>
        <w:pStyle w:val="Heading2"/>
        <w:spacing w:after="120" w:before="280"/>
      </w:pPr>
      <w:r>
        <w:rPr>
          <w:b/>
          <w:bCs/>
          <w:color w:val="2a78d6"/>
        </w:rPr>
        <w:t xml:space="preserve">6.9 Portfolio assessment &amp; the event overlay (Epic G)</w:t>
      </w:r>
    </w:p>
    <w:p>
      <w:pPr>
        <w:spacing w:after="120"/>
      </w:pPr>
      <w:r>
        <w:rPr>
          <w:sz w:val="22"/>
          <w:szCs w:val="22"/>
        </w:rPr>
        <w:t xml:space="preserve">Assessments of the user's accounts (two Transamerica retirement plans) are two-layer, and the layers are never blended: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Layer 1 — deterministic: </w:t>
      </w:r>
      <w:r>
        <w:rPr>
          <w:sz w:val="22"/>
          <w:szCs w:val="22"/>
        </w:rPr>
        <w:t xml:space="preserve">each held fund and each fund on the plan's menu is scored on the foundational criteria (via proxy_map where plan funds lack public tickers — proxy-scored results are labeled). On top: cross-account allocation, holdings overlap, and cost drag (expense-ratio delta × balance). Optimization suggestions are within-menu swaps ranked by score gap in the same asset-class slot, each with full score decomposition.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Layer 2 — event overlay: </w:t>
      </w:r>
      <w:r>
        <w:rPr>
          <w:sz w:val="22"/>
          <w:szCs w:val="22"/>
        </w:rPr>
        <w:t xml:space="preserve">news items (business and political) and calendar events (earnings, Fed, CPI, elections) tagged to holdings/sectors feed a Claude-written narrative. Citation rule: every event the narrative uses must be cited with its direction of influence (headwind / tailwind / watch) and the holding(s) it touches. Uncited claims are not permitted; assessments persist their cited event IDs for audit.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Separation rule: </w:t>
      </w:r>
      <w:r>
        <w:rPr>
          <w:sz w:val="22"/>
          <w:szCs w:val="22"/>
        </w:rPr>
        <w:t xml:space="preserve">the overlay never modifies a factor score, a rank, or a suggestion ordering. It contextualizes Layer 1, and the UI renders the two layers visually distinct.</w:t>
      </w:r>
    </w:p>
    <w:p>
      <w:pPr>
        <w:pStyle w:val="Heading2"/>
        <w:spacing w:after="120" w:before="280"/>
      </w:pPr>
      <w:r>
        <w:rPr>
          <w:b/>
          <w:bCs/>
          <w:color w:val="2a78d6"/>
        </w:rPr>
        <w:t xml:space="preserve">6.10 What this logic deliberately does NOT do (v1)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No backtesting engine yet (logged in ENHANCEMENTS; the persisted score history is designed to make it possible).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No machine learning; no LLM anywhere in the numbers. The Epic E3 narrative layer summarizes news/filings next to the scores and must not alter them.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No portfolio optimization, position sizing, or tax advice.</w:t>
      </w:r>
    </w:p>
    <w:p>
      <w:pPr>
        <w:spacing w:after="120"/>
      </w:pPr>
      <w:r>
        <w:rPr>
          <w:i/>
          <w:iCs/>
          <w:color w:val="52514e"/>
          <w:sz w:val="20"/>
          <w:szCs w:val="20"/>
        </w:rPr>
        <w:t xml:space="preserve">Maintenance rule: any change to lib/signals/* lands in the same commit as the update to this section.</w:t>
      </w:r>
    </w:p>
    <w:p>
      <w:pPr>
        <w:pStyle w:val="Heading1"/>
      </w:pPr>
      <w:r>
        <w:rPr>
          <w:b/>
          <w:bCs/>
          <w:color w:val="1a1a19"/>
        </w:rPr>
        <w:t xml:space="preserve">7. Known Limitations / Open Risks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yahoo-finance2 is unofficial — endpoints can change without notice. Contained by the provider interface + response cache; upgrade path is FMP/Polygon.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Free-tier data is delayed (typically 15 min to EOD) and analyst-estimate coverage is thin — forward-looking metrics will be missing for many names (handled by the missing-data policy).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Factor scores describe historical statistical tendencies; they are research aids, not investment advice, and the UI says so.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Single-user design: no auth in the local app; the deployed app must sit behind Vercel protection (F1 decision point).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Project directory lives in Google Drive sync — node_modules churn; recommend excluding it from sync.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Proxy-scored plan funds inherit the proxy's data, not the fund's actual holdings — close for index funds, looser for active CITs; the confidence field and labeling carry this caveat to the UI.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Manually entered holdings go stale between updates; every portfolio view shows the holdings as-of date and nags past 60 days.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2026-08-04T00:54:25.008Z</dcterms:created>
  <dcterms:modified xsi:type="dcterms:W3CDTF">2026-08-04T00:54:25.008Z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