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left"/>
      </w:pPr>
      <w:r>
        <w:rPr>
          <w:b/>
          <w:bCs/>
          <w:color w:val="1a1a19"/>
          <w:sz w:val="56"/>
          <w:szCs w:val="56"/>
        </w:rPr>
        <w:t xml:space="preserve">Visual Style Guide</w:t>
      </w:r>
    </w:p>
    <w:p>
      <w:pPr>
        <w:spacing w:after="120"/>
      </w:pPr>
      <w:r>
        <w:rPr>
          <w:color w:val="52514e"/>
          <w:sz w:val="26"/>
          <w:szCs w:val="26"/>
        </w:rPr>
        <w:t xml:space="preserve">Investment Research Dashboard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Last updated: 2026-08-04</w:t>
      </w:r>
    </w:p>
    <w:p>
      <w:pPr>
        <w:pStyle w:val="Heading1"/>
      </w:pPr>
      <w:r>
        <w:rPr>
          <w:b/>
          <w:bCs/>
          <w:color w:val="1a1a19"/>
        </w:rPr>
        <w:t xml:space="preserve">1. Design intent</w:t>
      </w:r>
    </w:p>
    <w:p>
      <w:pPr>
        <w:spacing w:after="120"/>
      </w:pPr>
      <w:r>
        <w:rPr>
          <w:sz w:val="22"/>
          <w:szCs w:val="22"/>
        </w:rPr>
        <w:t xml:space="preserve">A calm, data-dense research surface: recessive chrome, ink-on-paper neutrals, color reserved for data and state. Both light and dark modes are first-class (dark values are re-stepped, not auto-inverted). Numbers are the interface — everything else stays out of their way.</w:t>
      </w:r>
    </w:p>
    <w:p>
      <w:pPr>
        <w:pStyle w:val="Heading1"/>
      </w:pPr>
      <w:r>
        <w:rPr>
          <w:b/>
          <w:bCs/>
          <w:color w:val="1a1a19"/>
        </w:rPr>
        <w:t xml:space="preserve">2. Color palette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2.1 Surfaces &amp; ink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621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2621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plane</w:t>
            </w:r>
          </w:p>
        </w:tc>
        <w:tc>
          <w:tcPr>
            <w:tcW w:type="dxa" w:w="2621"/>
            <w:shd w:fill="f9f9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#f9f9f7</w:t>
            </w:r>
          </w:p>
        </w:tc>
        <w:tc>
          <w:tcPr>
            <w:tcW w:type="dxa" w:w="2621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#0d0d0d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/ chart surface</w:t>
            </w:r>
          </w:p>
        </w:tc>
        <w:tc>
          <w:tcPr>
            <w:tcW w:type="dxa" w:w="2621"/>
            <w:shd w:fill="fcfc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#fcfcfb</w:t>
            </w:r>
          </w:p>
        </w:tc>
        <w:tc>
          <w:tcPr>
            <w:tcW w:type="dxa" w:w="2621"/>
            <w:shd w:fill="1a1a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#1a1a19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ink (text)</w:t>
            </w:r>
          </w:p>
        </w:tc>
        <w:tc>
          <w:tcPr>
            <w:tcW w:type="dxa" w:w="2621"/>
            <w:shd w:fill="0b0b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#0b0b0b</w:t>
            </w:r>
          </w:p>
        </w:tc>
        <w:tc>
          <w:tcPr>
            <w:tcW w:type="dxa" w:w="26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ink</w:t>
            </w:r>
          </w:p>
        </w:tc>
        <w:tc>
          <w:tcPr>
            <w:tcW w:type="dxa" w:w="2621"/>
            <w:shd w:fill="5251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#52514e</w:t>
            </w:r>
          </w:p>
        </w:tc>
        <w:tc>
          <w:tcPr>
            <w:tcW w:type="dxa" w:w="2621"/>
            <w:shd w:fill="c3c2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#c3c2b7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Muted (axis, captions)</w:t>
            </w:r>
          </w:p>
        </w:tc>
        <w:tc>
          <w:tcPr>
            <w:tcW w:type="dxa" w:w="2621"/>
            <w:shd w:fill="8987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#898781</w:t>
            </w:r>
          </w:p>
        </w:tc>
        <w:tc>
          <w:tcPr>
            <w:tcW w:type="dxa" w:w="2621"/>
            <w:shd w:fill="8987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#898781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Hairline grid</w:t>
            </w:r>
          </w:p>
        </w:tc>
        <w:tc>
          <w:tcPr>
            <w:tcW w:type="dxa" w:w="2621"/>
            <w:shd w:fill="e1e0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#e1e0d9</w:t>
            </w:r>
          </w:p>
        </w:tc>
        <w:tc>
          <w:tcPr>
            <w:tcW w:type="dxa" w:w="2621"/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#2c2c2a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/ border</w:t>
            </w:r>
          </w:p>
        </w:tc>
        <w:tc>
          <w:tcPr>
            <w:tcW w:type="dxa" w:w="2621"/>
            <w:shd w:fill="c3c2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#c3c2b7</w:t>
            </w:r>
          </w:p>
        </w:tc>
        <w:tc>
          <w:tcPr>
            <w:tcW w:type="dxa" w:w="2621"/>
            <w:shd w:fill="3838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#383835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(links, active nav, primary button)</w:t>
            </w:r>
          </w:p>
        </w:tc>
        <w:tc>
          <w:tcPr>
            <w:tcW w:type="dxa" w:w="2621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#2a78d6</w:t>
            </w:r>
          </w:p>
        </w:tc>
        <w:tc>
          <w:tcPr>
            <w:tcW w:type="dxa" w:w="2621"/>
            <w:shd w:fill="3987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#3987e5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a78d6"/>
        </w:rPr>
        <w:t xml:space="preserve">2.2 Categorical series palette (charts — fixed slot order, never cycled)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936"/>
        <w:gridCol w:w="1685"/>
        <w:gridCol w:w="3370"/>
        <w:gridCol w:w="3370"/>
      </w:tblGrid>
      <w:tr>
        <w:trPr>
          <w:tblHeader/>
        </w:trPr>
        <w:tc>
          <w:tcPr>
            <w:tcW w:type="dxa" w:w="93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1685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Hue</w:t>
            </w:r>
          </w:p>
        </w:tc>
        <w:tc>
          <w:tcPr>
            <w:tcW w:type="dxa" w:w="337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337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337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#2a78d6</w:t>
            </w:r>
          </w:p>
        </w:tc>
        <w:tc>
          <w:tcPr>
            <w:tcW w:type="dxa" w:w="3370"/>
            <w:shd w:fill="3987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#3987e5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  <w:tc>
          <w:tcPr>
            <w:tcW w:type="dxa" w:w="3370"/>
            <w:shd w:fill="eb68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#eb6834</w:t>
            </w:r>
          </w:p>
        </w:tc>
        <w:tc>
          <w:tcPr>
            <w:tcW w:type="dxa" w:w="3370"/>
            <w:shd w:fill="d959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#d95926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aqua</w:t>
            </w:r>
          </w:p>
        </w:tc>
        <w:tc>
          <w:tcPr>
            <w:tcW w:type="dxa" w:w="3370"/>
            <w:shd w:fill="1baf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#1baf7a</w:t>
            </w:r>
          </w:p>
        </w:tc>
        <w:tc>
          <w:tcPr>
            <w:tcW w:type="dxa" w:w="3370"/>
            <w:shd w:fill="199e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#199e70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  <w:tc>
          <w:tcPr>
            <w:tcW w:type="dxa" w:w="3370"/>
            <w:shd w:fill="eda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#eda100</w:t>
            </w:r>
          </w:p>
        </w:tc>
        <w:tc>
          <w:tcPr>
            <w:tcW w:type="dxa" w:w="3370"/>
            <w:shd w:fill="c98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#c98500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magenta</w:t>
            </w:r>
          </w:p>
        </w:tc>
        <w:tc>
          <w:tcPr>
            <w:tcW w:type="dxa" w:w="3370"/>
            <w:shd w:fill="e87b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#e87ba4</w:t>
            </w:r>
          </w:p>
        </w:tc>
        <w:tc>
          <w:tcPr>
            <w:tcW w:type="dxa" w:w="3370"/>
            <w:shd w:fill="d551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#d55181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3370"/>
            <w:shd w:fill="008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#008300</w:t>
            </w:r>
          </w:p>
        </w:tc>
        <w:tc>
          <w:tcPr>
            <w:tcW w:type="dxa" w:w="3370"/>
            <w:shd w:fill="008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#008300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violet</w:t>
            </w:r>
          </w:p>
        </w:tc>
        <w:tc>
          <w:tcPr>
            <w:tcW w:type="dxa" w:w="3370"/>
            <w:shd w:fill="4a3aa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#4a3aa7</w:t>
            </w:r>
          </w:p>
        </w:tc>
        <w:tc>
          <w:tcPr>
            <w:tcW w:type="dxa" w:w="3370"/>
            <w:shd w:fill="908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#9085e9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3370"/>
            <w:shd w:fill="e349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#e34948</w:t>
            </w:r>
          </w:p>
        </w:tc>
        <w:tc>
          <w:tcPr>
            <w:tcW w:type="dxa" w:w="3370"/>
            <w:shd w:fill="e6676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#e66767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Validated with the dataviz six-check validator: ALL CHECKS PASS in both modes (worst adjacent CVD ΔE 9.1 light / 8.4 dark).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Relief rule (obligation): slots 3–5 sit below 3:1 contrast on the light surface, so any chart using them ships visible direct labels or a table 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Scatter/bubble/choropleth/small-multiples: only slots 1–3 validate all-pairs; past three series, fold to 'Other' or facet.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Color follows the entity, never its rank — filtering a chart must not repaint surviving series.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2.3 Status &amp; financial semantics (reserved — never used as series colors)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2246"/>
        <w:gridCol w:w="1872"/>
        <w:gridCol w:w="5242"/>
      </w:tblGrid>
      <w:tr>
        <w:trPr>
          <w:tblHeader/>
        </w:trPr>
        <w:tc>
          <w:tcPr>
            <w:tcW w:type="dxa" w:w="224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242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/ positive</w:t>
            </w:r>
          </w:p>
        </w:tc>
        <w:tc>
          <w:tcPr>
            <w:tcW w:type="dxa" w:w="1872"/>
            <w:shd w:fill="0ca3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#0ca30c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chips; gain deltas on dark. Light-mode gain TEXT uses #006300 (4.5:1).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872"/>
            <w:shd w:fill="fab2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#fab219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staleness, low-confidence score flags. Always icon + label, never color alone.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Serious</w:t>
            </w:r>
          </w:p>
        </w:tc>
        <w:tc>
          <w:tcPr>
            <w:tcW w:type="dxa" w:w="1872"/>
            <w:shd w:fill="ec83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#ec835a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Degraded provider, partial refresh.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/ negative</w:t>
            </w:r>
          </w:p>
        </w:tc>
        <w:tc>
          <w:tcPr>
            <w:tcW w:type="dxa" w:w="1872"/>
            <w:shd w:fill="d03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#d03b3b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Errors; loss deltas.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Gains/losses: </w:t>
      </w:r>
      <w:r>
        <w:rPr>
          <w:sz w:val="22"/>
          <w:szCs w:val="22"/>
        </w:rPr>
        <w:t xml:space="preserve">every delta pairs color with a sign and arrow (▲ +2.4% / ▼ −1.1%) — color is never the only carrier, for CVD safety.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Sequential ramps (heatmaps): blue one-hue ramp #cde2fb → #0d366b. Diverging (performance vs benchmark): blue ↔ red with neutral gray midpoint (#f0efec light / #383835 dark).</w:t>
      </w:r>
    </w:p>
    <w:p>
      <w:pPr>
        <w:pStyle w:val="Heading1"/>
      </w:pPr>
      <w:r>
        <w:rPr>
          <w:b/>
          <w:bCs/>
          <w:color w:val="1a1a19"/>
        </w:rPr>
        <w:t xml:space="preserve">3. Typography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561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(UI + figures)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sans: system-ui, -apple-system, "Segoe UI", sans-serif. No display/serif faces.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 / 600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18px / 600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title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/ 600, secondary ink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14px / 400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Captions, axis ticks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/ 400, muted ink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numbers (stat tiles)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28–36px / 600, proportional figures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table columns &amp; axis ticks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font-variant-numeric: tabular-nums (vertical alignment)</w:t>
            </w:r>
          </w:p>
        </w:tc>
      </w:tr>
    </w:tbl>
    <w:p>
      <w:pPr>
        <w:pStyle w:val="Heading1"/>
      </w:pPr>
      <w:r>
        <w:rPr>
          <w:b/>
          <w:bCs/>
          <w:color w:val="1a1a19"/>
        </w:rPr>
        <w:t xml:space="preserve">4. Spacing &amp; layout grid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Base unit 4px; components use multiples (8 / 12 / 16 / 24 / 32).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Page: max-width 1440px, 24px gutters; dashboard is a 12-column CSS grid, cards spanning 3–12 columns.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Cards: 16px internal padding, 8px radius, hairline border (rgba ink at 10%), no drop shadows — borders and surface steps carry elevation.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density beats whitespace: tables at 8px vertical cell padding; charts get a fixed 220px height in overview cards.</w:t>
      </w:r>
    </w:p>
    <w:p>
      <w:pPr>
        <w:pStyle w:val="Heading1"/>
      </w:pPr>
      <w:r>
        <w:rPr>
          <w:b/>
          <w:bCs/>
          <w:color w:val="1a1a19"/>
        </w:rPr>
        <w:t xml:space="preserve">5. Core component patterns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01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fill, white text, 8px radius, 32px height, 12px horizontal padding. One per view.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Hairline border, primary ink, transparent fill; hover = ghost wash.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 / inputs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 height, hairline border, 6px radius, accent focus ring; labels above, 12px secondary ink; inline errors in critical color + icon.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color, hairline border, card title top-left, optional caption right, body below; every metric card shows its as-of timestamp.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rail 220px (collapsible to icons): Dashboard, Watchlist, Screener, Markets, News, Settings. Active item = accent text + accent left bar.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Sticky header, tabular-nums for numerics, right-aligned numbers, hairline row separators, hover wash, sortable columns with ▲▼ indicator.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badge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0–100 composite in a rounded chip; the number and a neutral fill — score magnitude is NOT color-mapped to good/bad (avoids implying certainty); low-confidence adds the warning icon.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the dataviz method: thin marks, 2px lines, hairline grid, one axis (never dual-axis), legend for ≥2 series, crosshair + tooltip hover layer, as-of timestamp in the caption.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/ error states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 what's missing and the next action ('No data yet — run a refresh'); errors name the provider and keep the last good data visible with a staleness badge.</w:t>
            </w:r>
          </w:p>
        </w:tc>
      </w:tr>
    </w:tbl>
    <w:p>
      <w:pPr>
        <w:pStyle w:val="Heading1"/>
      </w:pPr>
      <w:r>
        <w:rPr>
          <w:b/>
          <w:bCs/>
          <w:color w:val="1a1a19"/>
        </w:rPr>
        <w:t xml:space="preserve">6. Tone &amp; voice (UI copy)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Plain, precise, unexcited. 'AAPL scores 74 (Balanced)' — never 'AAPL is a great buy!'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Numbers carry units and as-of dates. Missing data says '—' and why, never a silent zero.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Uncertainty is stated: low-confidence scores, delayed quotes, and unofficial sources are labeled.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Research aid, not advice: the screener footer carries 'Not investment advice' persistently.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Generated by scripts/gen-docs/style-guide.mjs — palette changes must re-run the dataviz validator before landing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2026-08-04T00:54:25.158Z</dcterms:created>
  <dcterms:modified xsi:type="dcterms:W3CDTF">2026-08-04T00:54:25.158Z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