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2026-08-05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 accepts a company name, not just a ticker ("Tesla" resolves to TSLA)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2026-08-04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addToWatchlist() resolves free text via the equity provider's symbol search before ever writing to the DB; rejects unmatched input instead of creating a fake instrument. Includes a cleanup tool (Admin &gt; Delete Instrument) for garbage symbols created before this existed.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 (new Epic G): ingest holdings + each plan's fund menu, score held funds and menu alternatives on the foundational criteria, suggest within-menu optimization swaps. User decision: manual entry + CSV import.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 (political + business),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PLAN: two-layer assessment — deterministic factor scores + an event overlay in which every cited news item states its direction of influence. Pulls the LLM narrative layer (E3) earlier; requires Claude API key.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2026-08-05T00:56:48.297Z</dcterms:created>
  <dcterms:modified xsi:type="dcterms:W3CDTF">2026-08-05T00:56:48.297Z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