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2026-08-05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Destructive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Loss-color fill, white text, same 8px radius/32px height as primary — reserved for permanent/irreversible actions (e.g. Admin &gt; Delete Instrument). Disabled state at 50% opacity like every other button.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Oracle, Portfolio, Settings, Admin.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 on a loss-to-gain gradient fill (as shipped in Screener/Watchlist) — the color reads directionally at a glance;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2026-08-05T07:55:22.809Z</dcterms:created>
  <dcterms:modified xsi:type="dcterms:W3CDTF">2026-08-05T07:55:22.809Z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