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Visual Style Guide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2026-08-04</w:t>
      </w:r>
    </w:p>
    <w:p>
      <w:pPr>
        <w:pStyle w:val="Heading1"/>
      </w:pPr>
      <w:r>
        <w:rPr>
          <w:b/>
          <w:bCs/>
          <w:color w:val="1a1a19"/>
        </w:rPr>
        <w:t xml:space="preserve">1. Design intent</w:t>
      </w:r>
    </w:p>
    <w:p>
      <w:pPr>
        <w:spacing w:after="120"/>
      </w:pPr>
      <w:r>
        <w:rPr>
          <w:sz w:val="22"/>
          <w:szCs w:val="22"/>
        </w:rPr>
        <w:t xml:space="preserve">A calm, data-dense research surface: recessive chrome, ink-on-paper neutrals, color reserved for data and state. Both light and dark modes are first-class (dark values are re-stepped, not auto-inverted). Numbers are the interface — everything else stays out of their way.</w:t>
      </w:r>
    </w:p>
    <w:p>
      <w:pPr>
        <w:pStyle w:val="Heading1"/>
      </w:pPr>
      <w:r>
        <w:rPr>
          <w:b/>
          <w:bCs/>
          <w:color w:val="1a1a19"/>
        </w:rPr>
        <w:t xml:space="preserve">2. Color palette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2.1 Surfaces &amp; ink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4118"/>
        <w:gridCol w:w="2621"/>
        <w:gridCol w:w="2621"/>
      </w:tblGrid>
      <w:tr>
        <w:trPr>
          <w:tblHeader/>
        </w:trPr>
        <w:tc>
          <w:tcPr>
            <w:tcW w:type="dxa" w:w="4118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262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plane</w:t>
            </w:r>
          </w:p>
        </w:tc>
        <w:tc>
          <w:tcPr>
            <w:tcW w:type="dxa" w:w="2621"/>
            <w:shd w:fill="f9f9f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#f9f9f7</w:t>
            </w:r>
          </w:p>
        </w:tc>
        <w:tc>
          <w:tcPr>
            <w:tcW w:type="dxa" w:w="2621"/>
            <w:shd w:fill="0d0d0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#0d0d0d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/ chart surface</w:t>
            </w:r>
          </w:p>
        </w:tc>
        <w:tc>
          <w:tcPr>
            <w:tcW w:type="dxa" w:w="2621"/>
            <w:shd w:fill="fcfc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#fcfcfb</w:t>
            </w:r>
          </w:p>
        </w:tc>
        <w:tc>
          <w:tcPr>
            <w:tcW w:type="dxa" w:w="2621"/>
            <w:shd w:fill="1a1a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#1a1a19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ink (text)</w:t>
            </w:r>
          </w:p>
        </w:tc>
        <w:tc>
          <w:tcPr>
            <w:tcW w:type="dxa" w:w="2621"/>
            <w:shd w:fill="0b0b0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#0b0b0b</w:t>
            </w:r>
          </w:p>
        </w:tc>
        <w:tc>
          <w:tcPr>
            <w:tcW w:type="dxa" w:w="2621"/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#ffffff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ink</w:t>
            </w:r>
          </w:p>
        </w:tc>
        <w:tc>
          <w:tcPr>
            <w:tcW w:type="dxa" w:w="2621"/>
            <w:shd w:fill="52514e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#52514e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Muted (axis, captions)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  <w:tc>
          <w:tcPr>
            <w:tcW w:type="dxa" w:w="2621"/>
            <w:shd w:fill="8987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#898781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grid</w:t>
            </w:r>
          </w:p>
        </w:tc>
        <w:tc>
          <w:tcPr>
            <w:tcW w:type="dxa" w:w="2621"/>
            <w:shd w:fill="e1e0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#e1e0d9</w:t>
            </w:r>
          </w:p>
        </w:tc>
        <w:tc>
          <w:tcPr>
            <w:tcW w:type="dxa" w:w="2621"/>
            <w:shd w:fill="2c2c2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#2c2c2a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Baseline / border</w:t>
            </w:r>
          </w:p>
        </w:tc>
        <w:tc>
          <w:tcPr>
            <w:tcW w:type="dxa" w:w="2621"/>
            <w:shd w:fill="c3c2b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#c3c2b7</w:t>
            </w:r>
          </w:p>
        </w:tc>
        <w:tc>
          <w:tcPr>
            <w:tcW w:type="dxa" w:w="2621"/>
            <w:shd w:fill="38383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#383835</w:t>
            </w:r>
          </w:p>
        </w:tc>
      </w:tr>
      <w:tr>
        <w:tc>
          <w:tcPr>
            <w:tcW w:type="dxa" w:w="4118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(links, active nav, primary button)</w:t>
            </w:r>
          </w:p>
        </w:tc>
        <w:tc>
          <w:tcPr>
            <w:tcW w:type="dxa" w:w="2621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2621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</w:tbl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2.2 Categorical series palette (charts — fixed slot order, never cycled)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936"/>
        <w:gridCol w:w="1685"/>
        <w:gridCol w:w="3370"/>
        <w:gridCol w:w="3370"/>
      </w:tblGrid>
      <w:tr>
        <w:trPr>
          <w:tblHeader/>
        </w:trPr>
        <w:tc>
          <w:tcPr>
            <w:tcW w:type="dxa" w:w="93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Slot</w:t>
            </w:r>
          </w:p>
        </w:tc>
        <w:tc>
          <w:tcPr>
            <w:tcW w:type="dxa" w:w="1685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Hue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Light</w:t>
            </w:r>
          </w:p>
        </w:tc>
        <w:tc>
          <w:tcPr>
            <w:tcW w:type="dxa" w:w="337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Dark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blue</w:t>
            </w:r>
          </w:p>
        </w:tc>
        <w:tc>
          <w:tcPr>
            <w:tcW w:type="dxa" w:w="3370"/>
            <w:shd w:fill="2a78d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#2a78d6</w:t>
            </w:r>
          </w:p>
        </w:tc>
        <w:tc>
          <w:tcPr>
            <w:tcW w:type="dxa" w:w="3370"/>
            <w:shd w:fill="3987e5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#3987e5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orange</w:t>
            </w:r>
          </w:p>
        </w:tc>
        <w:tc>
          <w:tcPr>
            <w:tcW w:type="dxa" w:w="3370"/>
            <w:shd w:fill="eb683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#eb6834</w:t>
            </w:r>
          </w:p>
        </w:tc>
        <w:tc>
          <w:tcPr>
            <w:tcW w:type="dxa" w:w="3370"/>
            <w:shd w:fill="d95926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#d95926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aqua</w:t>
            </w:r>
          </w:p>
        </w:tc>
        <w:tc>
          <w:tcPr>
            <w:tcW w:type="dxa" w:w="3370"/>
            <w:shd w:fill="1baf7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#1baf7a</w:t>
            </w:r>
          </w:p>
        </w:tc>
        <w:tc>
          <w:tcPr>
            <w:tcW w:type="dxa" w:w="3370"/>
            <w:shd w:fill="199e7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#199e70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4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yellow</w:t>
            </w:r>
          </w:p>
        </w:tc>
        <w:tc>
          <w:tcPr>
            <w:tcW w:type="dxa" w:w="3370"/>
            <w:shd w:fill="eda1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#eda100</w:t>
            </w:r>
          </w:p>
        </w:tc>
        <w:tc>
          <w:tcPr>
            <w:tcW w:type="dxa" w:w="3370"/>
            <w:shd w:fill="c985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#c98500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5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magenta</w:t>
            </w:r>
          </w:p>
        </w:tc>
        <w:tc>
          <w:tcPr>
            <w:tcW w:type="dxa" w:w="3370"/>
            <w:shd w:fill="e87ba4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#e87ba4</w:t>
            </w:r>
          </w:p>
        </w:tc>
        <w:tc>
          <w:tcPr>
            <w:tcW w:type="dxa" w:w="3370"/>
            <w:shd w:fill="d55181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#d55181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6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green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  <w:tc>
          <w:tcPr>
            <w:tcW w:type="dxa" w:w="3370"/>
            <w:shd w:fill="00830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#008300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7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violet</w:t>
            </w:r>
          </w:p>
        </w:tc>
        <w:tc>
          <w:tcPr>
            <w:tcW w:type="dxa" w:w="3370"/>
            <w:shd w:fill="4a3aa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#4a3aa7</w:t>
            </w:r>
          </w:p>
        </w:tc>
        <w:tc>
          <w:tcPr>
            <w:tcW w:type="dxa" w:w="3370"/>
            <w:shd w:fill="9085e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#9085e9</w:t>
            </w:r>
          </w:p>
        </w:tc>
      </w:tr>
      <w:tr>
        <w:tc>
          <w:tcPr>
            <w:tcW w:type="dxa" w:w="93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8</w:t>
            </w:r>
          </w:p>
        </w:tc>
        <w:tc>
          <w:tcPr>
            <w:tcW w:type="dxa" w:w="1685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red</w:t>
            </w:r>
          </w:p>
        </w:tc>
        <w:tc>
          <w:tcPr>
            <w:tcW w:type="dxa" w:w="3370"/>
            <w:shd w:fill="e34948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#e34948</w:t>
            </w:r>
          </w:p>
        </w:tc>
        <w:tc>
          <w:tcPr>
            <w:tcW w:type="dxa" w:w="3370"/>
            <w:shd w:fill="e66767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#e66767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Validated with the dataviz six-check validator: ALL CHECKS PASS in both modes (worst adjacent CVD ΔE 9.1 light / 8.4 dark).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Relief rule (obligation): slots 3–5 sit below 3:1 contrast on the light surface, so any chart using them ships visible direct labels or a table 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Scatter/bubble/choropleth/small-multiples: only slots 1–3 validate all-pairs; past three series, fold to 'Other' or facet.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Color follows the entity, never its rank — filtering a chart must not repaint surviving series.</w:t>
      </w:r>
    </w:p>
    <w:p>
      <w:pPr>
        <w:pStyle w:val="Heading2"/>
        <w:spacing w:after="120" w:before="280"/>
      </w:pPr>
      <w:r>
        <w:rPr>
          <w:b/>
          <w:bCs/>
          <w:color w:val="2a78d6"/>
        </w:rPr>
        <w:t xml:space="preserve">2.3 Status &amp; financial semantics (reserved — never used as series colors)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246"/>
        <w:gridCol w:w="1872"/>
        <w:gridCol w:w="5242"/>
      </w:tblGrid>
      <w:tr>
        <w:trPr>
          <w:tblHeader/>
        </w:trPr>
        <w:tc>
          <w:tcPr>
            <w:tcW w:type="dxa" w:w="224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Role</w:t>
            </w:r>
          </w:p>
        </w:tc>
        <w:tc>
          <w:tcPr>
            <w:tcW w:type="dxa" w:w="187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Hex</w:t>
            </w:r>
          </w:p>
        </w:tc>
        <w:tc>
          <w:tcPr>
            <w:tcW w:type="dxa" w:w="5242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Usage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Good / positive</w:t>
            </w:r>
          </w:p>
        </w:tc>
        <w:tc>
          <w:tcPr>
            <w:tcW w:type="dxa" w:w="1872"/>
            <w:shd w:fill="0ca30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#0ca30c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Status chips; gain deltas on dark. Light-mode gain TEXT uses #006300 (4.5:1).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Warning</w:t>
            </w:r>
          </w:p>
        </w:tc>
        <w:tc>
          <w:tcPr>
            <w:tcW w:type="dxa" w:w="1872"/>
            <w:shd w:fill="fab21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#fab219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Data staleness, low-confidence score flags. Always icon + label, never color alone.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Serious</w:t>
            </w:r>
          </w:p>
        </w:tc>
        <w:tc>
          <w:tcPr>
            <w:tcW w:type="dxa" w:w="1872"/>
            <w:shd w:fill="ec835a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#ec835a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Degraded provider, partial refresh.</w:t>
            </w:r>
          </w:p>
        </w:tc>
      </w:tr>
      <w:tr>
        <w:tc>
          <w:tcPr>
            <w:tcW w:type="dxa" w:w="224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Critical / negative</w:t>
            </w:r>
          </w:p>
        </w:tc>
        <w:tc>
          <w:tcPr>
            <w:tcW w:type="dxa" w:w="1872"/>
            <w:shd w:fill="d03b3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#d03b3b</w:t>
            </w:r>
          </w:p>
        </w:tc>
        <w:tc>
          <w:tcPr>
            <w:tcW w:type="dxa" w:w="5242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Errors; loss deltas.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b/>
          <w:bCs/>
          <w:sz w:val="22"/>
          <w:szCs w:val="22"/>
        </w:rPr>
        <w:t xml:space="preserve">Gains/losses: </w:t>
      </w:r>
      <w:r>
        <w:rPr>
          <w:sz w:val="22"/>
          <w:szCs w:val="22"/>
        </w:rPr>
        <w:t xml:space="preserve">every delta pairs color with a sign and arrow (▲ +2.4% / ▼ −1.1%) — color is never the only carrier, for CVD safety.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Sequential ramps (heatmaps): blue one-hue ramp #cde2fb → #0d366b. Diverging (performance vs benchmark): blue ↔ red with neutral gray midpoint (#f0efec light / #383835 dark).</w:t>
      </w:r>
    </w:p>
    <w:p>
      <w:pPr>
        <w:pStyle w:val="Heading1"/>
      </w:pPr>
      <w:r>
        <w:rPr>
          <w:b/>
          <w:bCs/>
          <w:color w:val="1a1a19"/>
        </w:rPr>
        <w:t xml:space="preserve">3. Typography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561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Use</w:t>
            </w:r>
          </w:p>
        </w:tc>
        <w:tc>
          <w:tcPr>
            <w:tcW w:type="dxa" w:w="561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Spec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Everything (UI + figures)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System sans: system-ui, -apple-system, "Segoe UI", sans-serif. No display/serif faces.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Page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24px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Section heading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18px / 600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 title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600, secondary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Body / labels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14px / 400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Captions,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12px / 400, muted ink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Hero numbers (stat tiles)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28–36px / 600, proportional figures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Numeric table columns &amp; axis ticks</w:t>
            </w:r>
          </w:p>
        </w:tc>
        <w:tc>
          <w:tcPr>
            <w:tcW w:type="dxa" w:w="561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font-variant-numeric: tabular-nums (vertical alignment)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4. Spacing &amp; layout grid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Base unit 4px; components use multiples (8 / 12 / 16 / 24 / 32).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Page: max-width 1440px, 24px gutters; dashboard is a 12-column CSS grid, cards spanning 3–12 columns.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Cards: 16px internal padding, 8px radius, hairline border (rgba ink at 10%), no drop shadows — borders and surface steps carry elevation.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Data density beats whitespace: tables at 8px vertical cell padding; charts get a fixed 220px height in overview cards.</w:t>
      </w:r>
    </w:p>
    <w:p>
      <w:pPr>
        <w:pStyle w:val="Heading1"/>
      </w:pPr>
      <w:r>
        <w:rPr>
          <w:b/>
          <w:bCs/>
          <w:color w:val="1a1a19"/>
        </w:rPr>
        <w:t xml:space="preserve">5. Core component patterns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2059"/>
        <w:gridCol w:w="7301"/>
      </w:tblGrid>
      <w:tr>
        <w:trPr>
          <w:tblHeader/>
        </w:trPr>
        <w:tc>
          <w:tcPr>
            <w:tcW w:type="dxa" w:w="2059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Component</w:t>
            </w:r>
          </w:p>
        </w:tc>
        <w:tc>
          <w:tcPr>
            <w:tcW w:type="dxa" w:w="7301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Pattern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Primary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Accent fill, white text, 8px radius, 32px height, 12px horizontal padding. One per view.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Secondary button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Hairline border, primary ink, transparent fill; hover = ghost wash.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Forms / inputs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32px height, hairline border, 6px radius, accent focus ring; labels above, 12px secondary ink; inline errors in critical color +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Cards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Surface color, hairline border, card title top-left, optional caption right, body below; every metric card shows its as-of timestamp.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Nav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Left rail 220px (collapsible to icons): Dashboard, Watchlist, Screener, Markets, News, Settings. Active item = accent text + accent left bar.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Tables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Sticky header, tabular-nums for numerics, right-aligned numbers, hairline row separators, hover wash, sortable columns with ▲▼ indicator.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Score badge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0–100 composite in a rounded chip; the number and a neutral fill — score magnitude is NOT color-mapped to good/bad (avoids implying certainty); low-confidence adds the warning icon.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Charts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Per the dataviz method: thin marks, 2px lines, hairline grid, one axis (never dual-axis), legend for ≥2 series, crosshair + tooltip hover layer, as-of timestamp in the caption.</w:t>
            </w:r>
          </w:p>
        </w:tc>
      </w:tr>
      <w:tr>
        <w:tc>
          <w:tcPr>
            <w:tcW w:type="dxa" w:w="2059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Empty / error states</w:t>
            </w:r>
          </w:p>
        </w:tc>
        <w:tc>
          <w:tcPr>
            <w:tcW w:type="dxa" w:w="7301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Explain what's missing and the next action ('No data yet — run a refresh'); errors name the provider and keep the last good data visible with a staleness badge.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6. Tone &amp; voice (UI copy)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Plain, precise, unexcited. 'AAPL scores 74 (Balanced)' — never 'AAPL is a great buy!'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Numbers carry units and as-of dates. Missing data says '—' and why, never a silent zero.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Uncertainty is stated: low-confidence scores, delayed quotes, and unofficial sources are labeled.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2"/>
          <w:szCs w:val="22"/>
        </w:rPr>
        <w:t xml:space="preserve">Research aid, not advice: the screener footer carries 'Not investment advice' persistently.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scripts/gen-docs/style-guide.mjs — palette changes must re-run the dataviz validator before landing here.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2026-08-04T01:02:00.013Z</dcterms:created>
  <dcterms:modified xsi:type="dcterms:W3CDTF">2026-08-04T01:02:00.013Z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