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rPr>
          <w:rFonts w:ascii="Calibri" w:cs="Calibri" w:eastAsia="Calibri" w:hAnsi="Calibri"/>
        </w:rPr>
        <w:t xml:space="preserve">User Guide</w:t>
      </w:r>
    </w:p>
    <w:p/>
    <w:p>
      <w:pPr>
        <w:spacing w:after="80"/>
      </w:pPr>
      <w:r>
        <w:rPr>
          <w:rFonts w:ascii="Calibri" w:cs="Calibri" w:eastAsia="Calibri" w:hAnsi="Calibri"/>
        </w:rPr>
        <w:t xml:space="preserve">Keep these instructions aligned with the delivered behavior. Write for the actual user,</w:t>
      </w:r>
    </w:p>
    <w:p>
      <w:pPr>
        <w:spacing w:after="80"/>
      </w:pPr>
      <w:r>
        <w:rPr>
          <w:rFonts w:ascii="Calibri" w:cs="Calibri" w:eastAsia="Calibri" w:hAnsi="Calibri"/>
        </w:rPr>
        <w:t xml:space="preserve">avoiding implementation detail unless it helps them succeed.</w:t>
      </w:r>
    </w:p>
    <w:p/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Purpose</w:t>
      </w:r>
    </w:p>
    <w:p/>
    <w:p>
      <w:pPr>
        <w:spacing w:after="80"/>
      </w:pPr>
      <w:r>
        <w:rPr>
          <w:rFonts w:ascii="Calibri" w:cs="Calibri" w:eastAsia="Calibri" w:hAnsi="Calibri"/>
        </w:rPr>
        <w:t xml:space="preserve">A personal dashboard for checking current US public-health surveillance data at a</w:t>
      </w:r>
    </w:p>
    <w:p>
      <w:pPr>
        <w:spacing w:after="80"/>
      </w:pPr>
      <w:r>
        <w:rPr>
          <w:rFonts w:ascii="Calibri" w:cs="Calibri" w:eastAsia="Calibri" w:hAnsi="Calibri"/>
        </w:rPr>
        <w:t xml:space="preserve">glance: disease activity (flu, COVID-19, RSV, measles) by state and county, a</w:t>
      </w:r>
    </w:p>
    <w:p>
      <w:pPr>
        <w:spacing w:after="80"/>
      </w:pPr>
      <w:r>
        <w:rPr>
          <w:rFonts w:ascii="Calibri" w:cs="Calibri" w:eastAsia="Calibri" w:hAnsi="Calibri"/>
        </w:rPr>
        <w:t xml:space="preserve">tri-state/NYC pinned view with true per-borough data, MMR vaccination coverage paired</w:t>
      </w:r>
    </w:p>
    <w:p>
      <w:pPr>
        <w:spacing w:after="80"/>
      </w:pPr>
      <w:r>
        <w:rPr>
          <w:rFonts w:ascii="Calibri" w:cs="Calibri" w:eastAsia="Calibri" w:hAnsi="Calibri"/>
        </w:rPr>
        <w:t xml:space="preserve">with the measles map, and a separate chronic-disease/behavioral-health tab — all</w:t>
      </w:r>
    </w:p>
    <w:p>
      <w:pPr>
        <w:spacing w:after="80"/>
      </w:pPr>
      <w:r>
        <w:rPr>
          <w:rFonts w:ascii="Calibri" w:cs="Calibri" w:eastAsia="Calibri" w:hAnsi="Calibri"/>
        </w:rPr>
        <w:t xml:space="preserve">sourced from PopHIVE (plus NYC's own open data for borough-level precision).</w:t>
      </w:r>
    </w:p>
    <w:p/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Intended audience</w:t>
      </w:r>
    </w:p>
    <w:p/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Primary users: Ben Aheto (sole user).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Expected knowledge: Comfortable reading epidemiological data (ED visit %, wastewater activity levels, hospitalization rates, coverage percentages); no special training assumed beyond that.</w:t>
      </w:r>
    </w:p>
    <w:p/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Prerequisites</w:t>
      </w:r>
    </w:p>
    <w:p/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A web browser.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The dashboard's hosted URL: </w:t>
      </w:r>
      <w:r>
        <w:rPr>
          <w:rFonts w:ascii="Calibri" w:cs="Calibri" w:eastAsia="Calibri" w:hAnsi="Calibri"/>
          <w:b/>
          <w:bCs/>
        </w:rPr>
        <w:t xml:space="preserve">https://web-six-sage-30.vercel.app</w:t>
      </w:r>
      <w:r>
        <w:rPr>
          <w:rFonts w:ascii="Calibri" w:cs="Calibri" w:eastAsia="Calibri" w:hAnsi="Calibri"/>
        </w:rPr>
        <w:t xml:space="preserve"> (unlisted, not linked publicly anywhere — no login required, per the personal-use scope).</w:t>
      </w:r>
    </w:p>
    <w:p/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Installation or access</w:t>
      </w:r>
    </w:p>
    <w:p/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Hosted (recommended): open https://web-six-sage-30.vercel.app directly. The site rebuilds automatically once a day (12:00 UTC) via Vercel Cron, re-running the full data pipeline so it stays current without any manual step.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Local development: from the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web/</w:t>
      </w:r>
      <w:r>
        <w:rPr>
          <w:rFonts w:ascii="Calibri" w:cs="Calibri" w:eastAsia="Calibri" w:hAnsi="Calibri"/>
        </w:rPr>
        <w:t xml:space="preserve"> folder, run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npm install</w:t>
      </w:r>
      <w:r>
        <w:rPr>
          <w:rFonts w:ascii="Calibri" w:cs="Calibri" w:eastAsia="Calibri" w:hAnsi="Calibri"/>
        </w:rPr>
        <w:t xml:space="preserve"> once, then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npm run dev</w:t>
      </w:r>
      <w:r>
        <w:rPr>
          <w:rFonts w:ascii="Calibri" w:cs="Calibri" w:eastAsia="Calibri" w:hAnsi="Calibri"/>
        </w:rPr>
        <w:t xml:space="preserve"> and open the printed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localhost</w:t>
      </w:r>
      <w:r>
        <w:rPr>
          <w:rFonts w:ascii="Calibri" w:cs="Calibri" w:eastAsia="Calibri" w:hAnsi="Calibri"/>
        </w:rPr>
        <w:t xml:space="preserve"> URL. The data pipeline runs automatically before each build (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npm run build</w:t>
      </w:r>
      <w:r>
        <w:rPr>
          <w:rFonts w:ascii="Calibri" w:cs="Calibri" w:eastAsia="Calibri" w:hAnsi="Calibri"/>
        </w:rPr>
        <w:t xml:space="preserve">) via the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prebuild</w:t>
      </w:r>
      <w:r>
        <w:rPr>
          <w:rFonts w:ascii="Calibri" w:cs="Calibri" w:eastAsia="Calibri" w:hAnsi="Calibri"/>
        </w:rPr>
        <w:t xml:space="preserve"> script; for local dev, run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npm run build:data</w:t>
      </w:r>
      <w:r>
        <w:rPr>
          <w:rFonts w:ascii="Calibri" w:cs="Calibri" w:eastAsia="Calibri" w:hAnsi="Calibri"/>
        </w:rPr>
        <w:t xml:space="preserve"> manually first (or after pulling new code) to refresh the generated JSON in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web/data/generated/</w:t>
      </w:r>
      <w:r>
        <w:rPr>
          <w:rFonts w:ascii="Calibri" w:cs="Calibri" w:eastAsia="Calibri" w:hAnsi="Calibri"/>
        </w:rPr>
        <w:t xml:space="preserve">.</w:t>
      </w:r>
    </w:p>
    <w:p/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Configuration</w:t>
      </w:r>
    </w:p>
    <w:p/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20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20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20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20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</w:tr>
    </w:tbl>
    <w:p>
      <w:pPr>
        <w:spacing w:after="120"/>
      </w:pPr>
    </w:p>
    <w:p/>
    <w:p>
      <w:pPr>
        <w:spacing w:after="80"/>
      </w:pPr>
      <w:r>
        <w:rPr>
          <w:rFonts w:ascii="Calibri" w:cs="Calibri" w:eastAsia="Calibri" w:hAnsi="Calibri"/>
        </w:rPr>
        <w:t xml:space="preserve">Do not include real secrets or credentials.</w:t>
      </w:r>
    </w:p>
    <w:p/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Quick start</w:t>
      </w:r>
    </w:p>
    <w:p/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Open the dashboard. The </w:t>
      </w:r>
      <w:r>
        <w:rPr>
          <w:rFonts w:ascii="Calibri" w:cs="Calibri" w:eastAsia="Calibri" w:hAnsi="Calibri"/>
          <w:b/>
          <w:bCs/>
        </w:rPr>
        <w:t xml:space="preserve">Outbreak Tracker</w:t>
      </w:r>
      <w:r>
        <w:rPr>
          <w:rFonts w:ascii="Calibri" w:cs="Calibri" w:eastAsia="Calibri" w:hAnsi="Calibri"/>
        </w:rPr>
        <w:t xml:space="preserve"> tab is selected by default, showing the national status overview strip (4 cards: Influenza, COVID-19, RSV, Measles) and a US map below it.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Use the disease buttons (Influenza / COVID-19 / RSV / Measles) and signal buttons (ED visits % / Wastewater / Hospitalizations, or Weekly / Cumulative for measles) to change what the map shows.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Click any state on the map to drill into its counties; click "← Back to national map" to return.</w:t>
      </w:r>
    </w:p>
    <w:p/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Core workflows</w:t>
      </w:r>
    </w:p>
    <w:p/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Check current national status</w:t>
      </w:r>
    </w:p>
    <w:p/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Goal: See at-a-glance disease activity levels.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Before you begin: Open the dashboard (Outbreak Tracker tab, the default view).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Steps: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Read the 4 overview cards: level (Minimal/Low/Moderate/High, or case counts for measles), trend arrow, % of 2-year peak, and the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as of</w:t>
      </w:r>
      <w:r>
        <w:rPr>
          <w:rFonts w:ascii="Calibri" w:cs="Calibri" w:eastAsia="Calibri" w:hAnsi="Calibri"/>
        </w:rPr>
        <w:t xml:space="preserve"> date.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Note that level and trend are this project's own estimate, disclosed on each respiratory card — PopHIVE itself doesn't publish exact thresholds, and for measles specifically PopHIVE declines to classify severity at all, so no level is shown there.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Expected result: Four cards reflecting the most recent pipeline run, each with a visible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as of</w:t>
      </w:r>
      <w:r>
        <w:rPr>
          <w:rFonts w:ascii="Calibri" w:cs="Calibri" w:eastAsia="Calibri" w:hAnsi="Calibri"/>
        </w:rPr>
        <w:t xml:space="preserve"> date.</w:t>
      </w:r>
    </w:p>
    <w:p/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Drill into a state or county</w:t>
      </w:r>
    </w:p>
    <w:p/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Goal: See local detail for a disease/signal.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Before you begin: Outbreak Tracker tab, a disease and signal selected.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Steps: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Click a state on the national map.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The map switches to that state's counties, colored by ED visits % (the only signal available at county level).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Hover any county for its exact value and date. A dashed outline plus "Estimated (not county-specific)" in the legend marks counties with no direct report, showing the state estimate instead.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Click "← Back to national map" to return.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Expected result: County-level detail for the selected state, with estimated/real values visibly distinguished.</w:t>
      </w:r>
    </w:p>
    <w:p/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Check the tri-state/NYC view</w:t>
      </w:r>
    </w:p>
    <w:p/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Goal: See NY/NJ/CT county detail with the 5 NYC boroughs called out, without having to click through the national map state by state.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Before you begin: Select a respiratory disease (Influenza, COVID-19, or RSV) — this view isn't available for measles, since there's no county-level measles data yet.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Steps: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Click "Tri-State + NYC" next to the signal selector.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The map shows NY, NJ, and CT counties; the 5 NYC boroughs are outlined in blue.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Hover a borough — its value comes from NYC's own health department data (true per-borough), not PopHIVE's feed, which sometimes reports one shared value across all 5 boroughs. A note above the map explains this.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Expected result: NY/NJ/CT counties with NYC boroughs visibly outlined and showing real, distinct values.</w:t>
      </w:r>
    </w:p>
    <w:p/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Check vaccination coverage</w:t>
      </w:r>
    </w:p>
    <w:p/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Goal: See MMR coverage alongside current measles activity.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Steps: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Select the Measles disease tab.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Scroll below the measles map to "MMR vaccination coverage."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Toggle between HealthMap and CDC NIS — they measure coverage differently and disagree substantially (NIS reads much higher); both are shown rather than averaged into one number.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Note the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as of</w:t>
      </w:r>
      <w:r>
        <w:rPr>
          <w:rFonts w:ascii="Calibri" w:cs="Calibri" w:eastAsia="Calibri" w:hAnsi="Calibri"/>
        </w:rPr>
        <w:t xml:space="preserve"> date, shown in orange — vaccination-coverage data is far staler (months to over a year old) than the weekly measles case data above it.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Expected result: A US map of MMR coverage by state, source-labeled, with a clearly flagged (older) as-of date.</w:t>
      </w:r>
    </w:p>
    <w:p/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Check chronic-disease/behavioral-health indicators</w:t>
      </w:r>
    </w:p>
    <w:p/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Goal: Check slower-moving indicators (diabetes, obesity, opioid overdose deaths) separately from the weekly outbreak tracker.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Steps: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Click "Chronic Disease &amp; Behavioral Health" at the top of the page — this is a fully separate tab, not a section of the outbreak tracker, and does not refresh on the same schedule.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Choose an indicator: Diabetes, Obesity, or Opioid overdose deaths.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Read the source/unit/as-of line above the map.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Expected result: A state-level map for the selected indicator. Note this covers 3 representative indicators, not the complete list of chronic-disease/behavioral-health topics — see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11-future-enhancements.md</w:t>
      </w:r>
      <w:r>
        <w:rPr>
          <w:rFonts w:ascii="Calibri" w:cs="Calibri" w:eastAsia="Calibri" w:hAnsi="Calibri"/>
        </w:rPr>
        <w:t xml:space="preserve"> for what's not yet built.</w:t>
      </w:r>
    </w:p>
    <w:p/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Inputs and outputs</w:t>
      </w:r>
    </w:p>
    <w:p/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25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25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25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</w:tr>
    </w:tbl>
    <w:p>
      <w:pPr>
        <w:spacing w:after="120"/>
      </w:pPr>
    </w:p>
    <w:p/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Common problems</w:t>
      </w:r>
    </w:p>
    <w:p/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33.333333333333336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33.333333333333336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spacing w:after="120"/>
      </w:pPr>
    </w:p>
    <w:p/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Limitations and safe use</w:t>
      </w:r>
    </w:p>
    <w:p/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This dashboard reflects PopHIVE's own data limitations: suppressed/small counts are not shown as true zeros, and some sources (vaccination coverage, chronic-disease indicators) can lag current data by months to over a year.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Level/trend labels on the overview strip are this project's own approximation, not an official PopHIVE classification — disclosed directly on each card.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Not intended as a clinical or public-health decision-making tool — it is a personal situational-awareness dashboard.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County-level drill-down covers ED visits % only (flu/COVID/RSV) — no county-level measles yet, and no county-level vaccination coverage yet (see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11-future-enhancements.md</w:t>
      </w:r>
      <w:r>
        <w:rPr>
          <w:rFonts w:ascii="Calibri" w:cs="Calibri" w:eastAsia="Calibri" w:hAnsi="Calibri"/>
        </w:rPr>
        <w:t xml:space="preserve">, E-009/E-011).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Chronic-disease tab covers 3 representative indicators (diabetes, obesity, opioid overdose), not the full topic list from the original brief.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Verified in Chrome desktop (1400×900) and a narrow 420×850 viewport as of 2026-07-26; not yet verified in other browsers, on physical mobile devices, or against formal accessibility tooling (screen readers, automated contrast/keyboard audits) — treat those as open until explicitly tested.</w:t>
      </w:r>
    </w:p>
    <w:p/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Getting help</w:t>
      </w:r>
    </w:p>
    <w:p/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Support owner or channel: Ben Aheto (self-supported personal project).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Information to include: N/A — no support process needed for a single-user project.</w:t>
      </w:r>
    </w:p>
    <w:p/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Version history</w:t>
      </w:r>
    </w:p>
    <w:p/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33.333333333333336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33.333333333333336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</w:r>
          </w:p>
        </w:tc>
      </w:tr>
    </w:tbl>
    <w:p>
      <w:pPr>
        <w:spacing w:after="120"/>
      </w:pPr>
    </w:p>
    <w:p/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Documentation QA</w:t>
      </w:r>
    </w:p>
    <w:p/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</w:rPr>
        <w:t xml:space="preserve">[x] </w:t>
      </w:r>
      <w:r>
        <w:rPr>
          <w:rFonts w:ascii="Calibri" w:cs="Calibri" w:eastAsia="Calibri" w:hAnsi="Calibri"/>
        </w:rPr>
        <w:t xml:space="preserve">Instructions were tested against the delivered output — verified interactively in Chrome on 2026-07-26 (map hover/click/drill-down, tri-state view, vaccination toggle, chronic-disease tab, narrow-viewport layout).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</w:rPr>
        <w:t xml:space="preserve">[x] </w:t>
      </w:r>
      <w:r>
        <w:rPr>
          <w:rFonts w:ascii="Calibri" w:cs="Calibri" w:eastAsia="Calibri" w:hAnsi="Calibri"/>
        </w:rPr>
        <w:t xml:space="preserve">Names, labels, screenshots, and workflows match the approved visual style guide and current product — confirmed via the same browser pass; two text-spacing bugs found were fixed before this guide was finalized.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 w:val="false"/>
          <w:bCs w:val="false"/>
        </w:rPr>
        <w:t xml:space="preserve">[ ] </w:t>
      </w:r>
      <w:r>
        <w:rPr>
          <w:rFonts w:ascii="Calibri" w:cs="Calibri" w:eastAsia="Calibri" w:hAnsi="Calibri"/>
        </w:rPr>
        <w:t xml:space="preserve">Accessibility instructions and keyboard behavior are documented where relevant — not yet done; map drill-down is currently mouse/touch-only (tracked as E-010).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2026-07-26T16:44:52.835Z</dcterms:created>
  <dcterms:modified xsi:type="dcterms:W3CDTF">2026-07-26T16:44:52.837Z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