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20" w:before="240"/>
      </w:pPr>
      <w:r>
        <w:rPr>
          <w:rFonts w:ascii="Calibri" w:cs="Calibri" w:eastAsia="Calibri" w:hAnsi="Calibri"/>
        </w:rPr>
        <w:t xml:space="preserve">Technical Specification</w:t>
      </w:r>
    </w:p>
    <w:p/>
    <w:p>
      <w:pPr>
        <w:spacing w:after="80"/>
      </w:pPr>
      <w:r>
        <w:rPr>
          <w:rFonts w:ascii="Calibri" w:cs="Calibri" w:eastAsia="Calibri" w:hAnsi="Calibri"/>
        </w:rPr>
        <w:t xml:space="preserve">This is the technical source of truth for the delivered build. Update it in the same</w:t>
      </w:r>
    </w:p>
    <w:p>
      <w:pPr>
        <w:spacing w:after="80"/>
      </w:pPr>
      <w:r>
        <w:rPr>
          <w:rFonts w:ascii="Calibri" w:cs="Calibri" w:eastAsia="Calibri" w:hAnsi="Calibri"/>
        </w:rPr>
        <w:t xml:space="preserve">milestone as any architectural, interface, data, configuration, or deployment change.</w:t>
      </w:r>
    </w:p>
    <w:p/>
    <w:p>
      <w:pPr>
        <w:pStyle w:val="Heading1"/>
        <w:spacing w:after="120" w:before="240"/>
      </w:pPr>
      <w:r>
        <w:rPr>
          <w:rFonts w:ascii="Calibri" w:cs="Calibri" w:eastAsia="Calibri" w:hAnsi="Calibri"/>
        </w:rPr>
        <w:t xml:space="preserve">System purpose and scope</w:t>
      </w:r>
    </w:p>
    <w:p/>
    <w:p>
      <w:pPr>
        <w:pStyle w:val="ListParagraph"/>
        <w:numPr>
          <w:ilvl w:val="0"/>
          <w:numId w:val="1"/>
        </w:numPr>
      </w:pPr>
      <w:r>
        <w:rPr>
          <w:rFonts w:ascii="Calibri" w:cs="Calibri" w:eastAsia="Calibri" w:hAnsi="Calibri"/>
        </w:rPr>
        <w:t xml:space="preserve">Purpose: A personal, hosted, self-refreshing dashboard of US public-health surveillance data sourced from PopHIVE.</w:t>
      </w:r>
    </w:p>
    <w:p>
      <w:pPr>
        <w:pStyle w:val="ListParagraph"/>
        <w:numPr>
          <w:ilvl w:val="0"/>
          <w:numId w:val="1"/>
        </w:numPr>
      </w:pPr>
      <w:r>
        <w:rPr>
          <w:rFonts w:ascii="Calibri" w:cs="Calibri" w:eastAsia="Calibri" w:hAnsi="Calibri"/>
        </w:rPr>
        <w:t xml:space="preserve">In scope: See </w:t>
      </w:r>
      <w:r>
        <w:rPr>
          <w:rFonts w:ascii="Consolas" w:cs="Consolas" w:eastAsia="Consolas" w:hAnsi="Consolas"/>
          <w:sz w:val="20"/>
          <w:szCs w:val="20"/>
          <w:shd w:fill="F2F2F2"/>
        </w:rPr>
        <w:t xml:space="preserve">01-scope.md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1"/>
        </w:numPr>
      </w:pPr>
      <w:r>
        <w:rPr>
          <w:rFonts w:ascii="Calibri" w:cs="Calibri" w:eastAsia="Calibri" w:hAnsi="Calibri"/>
        </w:rPr>
        <w:t xml:space="preserve">Out of scope: See </w:t>
      </w:r>
      <w:r>
        <w:rPr>
          <w:rFonts w:ascii="Consolas" w:cs="Consolas" w:eastAsia="Consolas" w:hAnsi="Consolas"/>
          <w:sz w:val="20"/>
          <w:szCs w:val="20"/>
          <w:shd w:fill="F2F2F2"/>
        </w:rPr>
        <w:t xml:space="preserve">01-scope.md</w:t>
      </w:r>
      <w:r>
        <w:rPr>
          <w:rFonts w:ascii="Calibri" w:cs="Calibri" w:eastAsia="Calibri" w:hAnsi="Calibri"/>
        </w:rPr>
        <w:t xml:space="preserve">.</w:t>
      </w:r>
    </w:p>
    <w:p/>
    <w:p>
      <w:pPr>
        <w:pStyle w:val="Heading1"/>
        <w:spacing w:after="120" w:before="240"/>
      </w:pPr>
      <w:r>
        <w:rPr>
          <w:rFonts w:ascii="Calibri" w:cs="Calibri" w:eastAsia="Calibri" w:hAnsi="Calibri"/>
        </w:rPr>
        <w:t xml:space="preserve">Architecture overview</w:t>
      </w:r>
    </w:p>
    <w:p/>
    <w:p>
      <w:pPr>
        <w:spacing w:after="80"/>
      </w:pPr>
      <w:r>
        <w:rPr>
          <w:rFonts w:ascii="Calibri" w:cs="Calibri" w:eastAsia="Calibri" w:hAnsi="Calibri"/>
        </w:rPr>
        <w:t xml:space="preserve">Static site (Next.js 16, App Router — D-006) built locally today, targeting Vercel</w:t>
      </w:r>
    </w:p>
    <w:p>
      <w:pPr>
        <w:spacing w:after="80"/>
      </w:pPr>
      <w:r>
        <w:rPr>
          <w:rFonts w:ascii="Calibri" w:cs="Calibri" w:eastAsia="Calibri" w:hAnsi="Calibri"/>
        </w:rPr>
        <w:t xml:space="preserve">hosting (M7, not yet deployed). A build-time data pipeline (</w:t>
      </w:r>
      <w:r>
        <w:rPr>
          <w:rFonts w:ascii="Consolas" w:cs="Consolas" w:eastAsia="Consolas" w:hAnsi="Consolas"/>
          <w:sz w:val="20"/>
          <w:szCs w:val="20"/>
          <w:shd w:fill="F2F2F2"/>
        </w:rPr>
        <w:t xml:space="preserve">web/scripts/build-data.ts</w:t>
      </w:r>
      <w:r>
        <w:rPr>
          <w:rFonts w:ascii="Calibri" w:cs="Calibri" w:eastAsia="Calibri" w:hAnsi="Calibri"/>
        </w:rPr>
        <w:t xml:space="preserve">,</w:t>
      </w:r>
    </w:p>
    <w:p>
      <w:pPr>
        <w:spacing w:after="80"/>
      </w:pPr>
      <w:r>
        <w:rPr>
          <w:rFonts w:ascii="Calibri" w:cs="Calibri" w:eastAsia="Calibri" w:hAnsi="Calibri"/>
        </w:rPr>
        <w:t xml:space="preserve">run via </w:t>
      </w:r>
      <w:r>
        <w:rPr>
          <w:rFonts w:ascii="Consolas" w:cs="Consolas" w:eastAsia="Consolas" w:hAnsi="Consolas"/>
          <w:sz w:val="20"/>
          <w:szCs w:val="20"/>
          <w:shd w:fill="F2F2F2"/>
        </w:rPr>
        <w:t xml:space="preserve">npm run build:data</w:t>
      </w:r>
      <w:r>
        <w:rPr>
          <w:rFonts w:ascii="Calibri" w:cs="Calibri" w:eastAsia="Calibri" w:hAnsi="Calibri"/>
        </w:rPr>
        <w:t xml:space="preserve">, wired as the </w:t>
      </w:r>
      <w:r>
        <w:rPr>
          <w:rFonts w:ascii="Consolas" w:cs="Consolas" w:eastAsia="Consolas" w:hAnsi="Consolas"/>
          <w:sz w:val="20"/>
          <w:szCs w:val="20"/>
          <w:shd w:fill="F2F2F2"/>
        </w:rPr>
        <w:t xml:space="preserve">prebuild</w:t>
      </w:r>
      <w:r>
        <w:rPr>
          <w:rFonts w:ascii="Calibri" w:cs="Calibri" w:eastAsia="Calibri" w:hAnsi="Calibri"/>
        </w:rPr>
        <w:t xml:space="preserve"> script) uses DuckDB (D-007) to</w:t>
      </w:r>
    </w:p>
    <w:p>
      <w:pPr>
        <w:spacing w:after="80"/>
      </w:pPr>
      <w:r>
        <w:rPr>
          <w:rFonts w:ascii="Calibri" w:cs="Calibri" w:eastAsia="Calibri" w:hAnsi="Calibri"/>
        </w:rPr>
        <w:t xml:space="preserve">query PopHIVE parquet bundles directly from </w:t>
      </w:r>
      <w:r>
        <w:rPr>
          <w:rFonts w:ascii="Consolas" w:cs="Consolas" w:eastAsia="Consolas" w:hAnsi="Consolas"/>
          <w:sz w:val="20"/>
          <w:szCs w:val="20"/>
          <w:shd w:fill="F2F2F2"/>
        </w:rPr>
        <w:t xml:space="preserve">raw.githubusercontent.com/PopHIVE/Ingest</w:t>
      </w:r>
    </w:p>
    <w:p>
      <w:pPr>
        <w:spacing w:after="80"/>
      </w:pPr>
      <w:r>
        <w:rPr>
          <w:rFonts w:ascii="Calibri" w:cs="Calibri" w:eastAsia="Calibri" w:hAnsi="Calibri"/>
        </w:rPr>
        <w:t xml:space="preserve">over HTTP, plus NYC DOHMH's own CSV data (D-008) for true per-borough figures, applies</w:t>
      </w:r>
    </w:p>
    <w:p>
      <w:pPr>
        <w:spacing w:after="80"/>
      </w:pPr>
      <w:r>
        <w:rPr>
          <w:rFonts w:ascii="Calibri" w:cs="Calibri" w:eastAsia="Calibri" w:hAnsi="Calibri"/>
        </w:rPr>
        <w:t xml:space="preserve">data-quality transforms in SQL/TypeScript, and writes static JSON to</w:t>
      </w:r>
    </w:p>
    <w:p>
      <w:pPr>
        <w:spacing w:after="80"/>
      </w:pPr>
      <w:r>
        <w:rPr>
          <w:rFonts w:ascii="Consolas" w:cs="Consolas" w:eastAsia="Consolas" w:hAnsi="Consolas"/>
          <w:sz w:val="20"/>
          <w:szCs w:val="20"/>
          <w:shd w:fill="F2F2F2"/>
        </w:rPr>
        <w:t xml:space="preserve">web/data/generated/</w:t>
      </w:r>
      <w:r>
        <w:rPr>
          <w:rFonts w:ascii="Calibri" w:cs="Calibri" w:eastAsia="Calibri" w:hAnsi="Calibri"/>
        </w:rPr>
        <w:t xml:space="preserve"> (gitignored, regenerated every build). Server Components import</w:t>
      </w:r>
    </w:p>
    <w:p>
      <w:pPr>
        <w:spacing w:after="80"/>
      </w:pPr>
      <w:r>
        <w:rPr>
          <w:rFonts w:ascii="Calibri" w:cs="Calibri" w:eastAsia="Calibri" w:hAnsi="Calibri"/>
        </w:rPr>
        <w:t xml:space="preserve">that JSON directly at build time; all interactivity (disease/signal selection,</w:t>
      </w:r>
    </w:p>
    <w:p>
      <w:pPr>
        <w:spacing w:after="80"/>
      </w:pPr>
      <w:r>
        <w:rPr>
          <w:rFonts w:ascii="Calibri" w:cs="Calibri" w:eastAsia="Calibri" w:hAnsi="Calibri"/>
        </w:rPr>
        <w:t xml:space="preserve">drill-down, tab switching) happens client-side against the data already embedded in the</w:t>
      </w:r>
    </w:p>
    <w:p>
      <w:pPr>
        <w:spacing w:after="80"/>
      </w:pPr>
      <w:r>
        <w:rPr>
          <w:rFonts w:ascii="Calibri" w:cs="Calibri" w:eastAsia="Calibri" w:hAnsi="Calibri"/>
        </w:rPr>
        <w:t xml:space="preserve">page — there is no runtime API or database.</w:t>
      </w:r>
    </w:p>
    <w:p/>
    <w:p>
      <w:pPr>
        <w:pStyle w:val="Heading2"/>
        <w:spacing w:after="120" w:before="240"/>
      </w:pPr>
      <w:r>
        <w:rPr>
          <w:rFonts w:ascii="Calibri" w:cs="Calibri" w:eastAsia="Calibri" w:hAnsi="Calibri"/>
        </w:rPr>
        <w:t xml:space="preserve">Build-time data flow</w:t>
      </w:r>
    </w:p>
    <w:p/>
    <w:p>
      <w:pPr>
        <w:spacing w:after="200" w:before="200"/>
        <w:jc w:val="center"/>
      </w:pPr>
      <w:r>
        <w:drawing>
          <wp:inline distT="0" distB="0" distL="0" distR="0">
            <wp:extent cx="5715000" cy="37433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743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Heading2"/>
        <w:spacing w:after="120" w:before="240"/>
      </w:pPr>
      <w:r>
        <w:rPr>
          <w:rFonts w:ascii="Calibri" w:cs="Calibri" w:eastAsia="Calibri" w:hAnsi="Calibri"/>
        </w:rPr>
        <w:t xml:space="preserve">Deployment / refresh loop (as built, M7)</w:t>
      </w:r>
    </w:p>
    <w:p/>
    <w:p>
      <w:pPr>
        <w:spacing w:after="200" w:before="200"/>
        <w:jc w:val="center"/>
      </w:pPr>
      <w:r>
        <w:drawing>
          <wp:inline distT="0" distB="0" distL="0" distR="0">
            <wp:extent cx="5715000" cy="5143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51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spacing w:after="80"/>
      </w:pPr>
      <w:r>
        <w:rPr>
          <w:rFonts w:ascii="Calibri" w:cs="Calibri" w:eastAsia="Calibri" w:hAnsi="Calibri"/>
        </w:rPr>
        <w:t xml:space="preserve">Live at </w:t>
      </w:r>
      <w:r>
        <w:rPr>
          <w:rFonts w:ascii="Calibri" w:cs="Calibri" w:eastAsia="Calibri" w:hAnsi="Calibri"/>
          <w:b/>
          <w:bCs/>
        </w:rPr>
        <w:t xml:space="preserve">https://web-six-sage-30.vercel.app</w:t>
      </w:r>
      <w:r>
        <w:rPr>
          <w:rFonts w:ascii="Calibri" w:cs="Calibri" w:eastAsia="Calibri" w:hAnsi="Calibri"/>
        </w:rPr>
        <w:t xml:space="preserve"> (Vercel project </w:t>
      </w:r>
      <w:r>
        <w:rPr>
          <w:rFonts w:ascii="Consolas" w:cs="Consolas" w:eastAsia="Consolas" w:hAnsi="Consolas"/>
          <w:sz w:val="20"/>
          <w:szCs w:val="20"/>
          <w:shd w:fill="F2F2F2"/>
        </w:rPr>
        <w:t xml:space="preserve">surveillance-dashboard</w:t>
      </w:r>
      <w:r>
        <w:rPr>
          <w:rFonts w:ascii="Calibri" w:cs="Calibri" w:eastAsia="Calibri" w:hAnsi="Calibri"/>
        </w:rPr>
        <w:t xml:space="preserve">,</w:t>
      </w:r>
    </w:p>
    <w:p>
      <w:pPr>
        <w:spacing w:after="80"/>
      </w:pPr>
      <w:r>
        <w:rPr>
          <w:rFonts w:ascii="Calibri" w:cs="Calibri" w:eastAsia="Calibri" w:hAnsi="Calibri"/>
        </w:rPr>
        <w:t xml:space="preserve">scope </w:t>
      </w:r>
      <w:r>
        <w:rPr>
          <w:rFonts w:ascii="Consolas" w:cs="Consolas" w:eastAsia="Consolas" w:hAnsi="Consolas"/>
          <w:sz w:val="20"/>
          <w:szCs w:val="20"/>
          <w:shd w:fill="F2F2F2"/>
        </w:rPr>
        <w:t xml:space="preserve">ben-a</w:t>
      </w:r>
      <w:r>
        <w:rPr>
          <w:rFonts w:ascii="Calibri" w:cs="Calibri" w:eastAsia="Calibri" w:hAnsi="Calibri"/>
        </w:rPr>
        <w:t xml:space="preserve">; GitHub repo </w:t>
      </w:r>
      <w:r>
        <w:rPr>
          <w:rFonts w:ascii="Consolas" w:cs="Consolas" w:eastAsia="Consolas" w:hAnsi="Consolas"/>
          <w:sz w:val="20"/>
          <w:szCs w:val="20"/>
          <w:shd w:fill="F2F2F2"/>
        </w:rPr>
        <w:t xml:space="preserve">akaheto/surveillance-dashboard</w:t>
      </w:r>
      <w:r>
        <w:rPr>
          <w:rFonts w:ascii="Calibri" w:cs="Calibri" w:eastAsia="Calibri" w:hAnsi="Calibri"/>
        </w:rPr>
        <w:t xml:space="preserve">, private; Root Directory</w:t>
      </w:r>
    </w:p>
    <w:p>
      <w:pPr>
        <w:spacing w:after="80"/>
      </w:pPr>
      <w:r>
        <w:rPr>
          <w:rFonts w:ascii="Consolas" w:cs="Consolas" w:eastAsia="Consolas" w:hAnsi="Consolas"/>
          <w:sz w:val="20"/>
          <w:szCs w:val="20"/>
          <w:shd w:fill="F2F2F2"/>
        </w:rPr>
        <w:t xml:space="preserve">web</w:t>
      </w:r>
      <w:r>
        <w:rPr>
          <w:rFonts w:ascii="Calibri" w:cs="Calibri" w:eastAsia="Calibri" w:hAnsi="Calibri"/>
        </w:rPr>
        <w:t xml:space="preserve">). The deploy hook was created via the Vercel REST API (`POST /v1/projects/{id}</w:t>
      </w:r>
    </w:p>
    <w:p>
      <w:pPr>
        <w:spacing w:after="80"/>
      </w:pPr>
      <w:r>
        <w:rPr>
          <w:rFonts w:ascii="Calibri" w:cs="Calibri" w:eastAsia="Calibri" w:hAnsi="Calibri"/>
        </w:rPr>
        <w:t xml:space="preserve">/deploy-hooks`) since the CLI has no command for it and the dashboard UI wasn't scripted</w:t>
      </w:r>
    </w:p>
    <w:p>
      <w:pPr>
        <w:spacing w:after="80"/>
      </w:pPr>
      <w:r>
        <w:rPr>
          <w:rFonts w:ascii="Calibri" w:cs="Calibri" w:eastAsia="Calibri" w:hAnsi="Calibri"/>
        </w:rPr>
        <w:t xml:space="preserve">against; </w:t>
      </w:r>
      <w:r>
        <w:rPr>
          <w:rFonts w:ascii="Consolas" w:cs="Consolas" w:eastAsia="Consolas" w:hAnsi="Consolas"/>
          <w:sz w:val="20"/>
          <w:szCs w:val="20"/>
          <w:shd w:fill="F2F2F2"/>
        </w:rPr>
        <w:t xml:space="preserve">DEPLOY_HOOK_URL</w:t>
      </w:r>
      <w:r>
        <w:rPr>
          <w:rFonts w:ascii="Calibri" w:cs="Calibri" w:eastAsia="Calibri" w:hAnsi="Calibri"/>
        </w:rPr>
        <w:t xml:space="preserve"> and </w:t>
      </w:r>
      <w:r>
        <w:rPr>
          <w:rFonts w:ascii="Consolas" w:cs="Consolas" w:eastAsia="Consolas" w:hAnsi="Consolas"/>
          <w:sz w:val="20"/>
          <w:szCs w:val="20"/>
          <w:shd w:fill="F2F2F2"/>
        </w:rPr>
        <w:t xml:space="preserve">CRON_SECRET</w:t>
      </w:r>
      <w:r>
        <w:rPr>
          <w:rFonts w:ascii="Calibri" w:cs="Calibri" w:eastAsia="Calibri" w:hAnsi="Calibri"/>
        </w:rPr>
        <w:t xml:space="preserve"> are stored as encrypted production</w:t>
      </w:r>
    </w:p>
    <w:p>
      <w:pPr>
        <w:spacing w:after="80"/>
      </w:pPr>
      <w:r>
        <w:rPr>
          <w:rFonts w:ascii="Calibri" w:cs="Calibri" w:eastAsia="Calibri" w:hAnsi="Calibri"/>
        </w:rPr>
        <w:t xml:space="preserve">environment variables, not committed to the repo. Verified 2026-07-26: build succeeds</w:t>
      </w:r>
    </w:p>
    <w:p>
      <w:pPr>
        <w:spacing w:after="80"/>
      </w:pPr>
      <w:r>
        <w:rPr>
          <w:rFonts w:ascii="Calibri" w:cs="Calibri" w:eastAsia="Calibri" w:hAnsi="Calibri"/>
        </w:rPr>
        <w:t xml:space="preserve">on Vercel's build image (confirms DuckDB's native binary works there, resolving R-002),</w:t>
      </w:r>
    </w:p>
    <w:p>
      <w:pPr>
        <w:spacing w:after="80"/>
      </w:pPr>
      <w:r>
        <w:rPr>
          <w:rFonts w:ascii="Calibri" w:cs="Calibri" w:eastAsia="Calibri" w:hAnsi="Calibri"/>
        </w:rPr>
        <w:t xml:space="preserve">the deployed site serves correctly, the cron definition is registered against the</w:t>
      </w:r>
    </w:p>
    <w:p>
      <w:pPr>
        <w:spacing w:after="80"/>
      </w:pPr>
      <w:r>
        <w:rPr>
          <w:rFonts w:ascii="Calibri" w:cs="Calibri" w:eastAsia="Calibri" w:hAnsi="Calibri"/>
        </w:rPr>
        <w:t xml:space="preserve">latest deployment, and </w:t>
      </w:r>
      <w:r>
        <w:rPr>
          <w:rFonts w:ascii="Consolas" w:cs="Consolas" w:eastAsia="Consolas" w:hAnsi="Consolas"/>
          <w:sz w:val="20"/>
          <w:szCs w:val="20"/>
          <w:shd w:fill="F2F2F2"/>
        </w:rPr>
        <w:t xml:space="preserve">/api/rebuild</w:t>
      </w:r>
      <w:r>
        <w:rPr>
          <w:rFonts w:ascii="Calibri" w:cs="Calibri" w:eastAsia="Calibri" w:hAnsi="Calibri"/>
        </w:rPr>
        <w:t xml:space="preserve"> correctly returns 401 without the correct bearer</w:t>
      </w:r>
    </w:p>
    <w:p>
      <w:pPr>
        <w:spacing w:after="80"/>
      </w:pPr>
      <w:r>
        <w:rPr>
          <w:rFonts w:ascii="Calibri" w:cs="Calibri" w:eastAsia="Calibri" w:hAnsi="Calibri"/>
        </w:rPr>
        <w:t xml:space="preserve">token.</w:t>
      </w:r>
    </w:p>
    <w:p/>
    <w:p>
      <w:pPr>
        <w:pStyle w:val="Heading2"/>
        <w:spacing w:after="120" w:before="240"/>
      </w:pPr>
      <w:r>
        <w:rPr>
          <w:rFonts w:ascii="Calibri" w:cs="Calibri" w:eastAsia="Calibri" w:hAnsi="Calibri"/>
        </w:rPr>
        <w:t xml:space="preserve">NYC borough blend (D-008)</w:t>
      </w:r>
    </w:p>
    <w:p/>
    <w:p>
      <w:pPr>
        <w:spacing w:after="200" w:before="200"/>
        <w:jc w:val="center"/>
      </w:pPr>
      <w:r>
        <w:drawing>
          <wp:inline distT="0" distB="0" distL="0" distR="0">
            <wp:extent cx="5715000" cy="70961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709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spacing w:after="80"/>
      </w:pPr>
      <w:r>
        <w:rPr>
          <w:rFonts w:ascii="Calibri" w:cs="Calibri" w:eastAsia="Calibri" w:hAnsi="Calibri"/>
        </w:rPr>
        <w:t xml:space="preserve">Rendered from the Mermaid source above; regenerate the diagram images if this section</w:t>
      </w:r>
    </w:p>
    <w:p>
      <w:pPr>
        <w:spacing w:after="80"/>
      </w:pPr>
      <w:r>
        <w:rPr>
          <w:rFonts w:ascii="Calibri" w:cs="Calibri" w:eastAsia="Calibri" w:hAnsi="Calibri"/>
        </w:rPr>
        <w:t xml:space="preserve">changes (see the Word-export note in this document's governance, if applicable).</w:t>
      </w:r>
    </w:p>
    <w:p/>
    <w:p>
      <w:pPr>
        <w:pStyle w:val="Heading1"/>
        <w:spacing w:after="120" w:before="240"/>
      </w:pPr>
      <w:r>
        <w:rPr>
          <w:rFonts w:ascii="Calibri" w:cs="Calibri" w:eastAsia="Calibri" w:hAnsi="Calibri"/>
        </w:rPr>
        <w:t xml:space="preserve">Components</w:t>
      </w:r>
    </w:p>
    <w:p/>
    <w:tbl>
      <w:tblPr>
        <w:tblW w:type="pct" w:w="100%"/>
        <w:tblBorders>
          <w:top w:val="single" w:color="CCCCCC" w:sz="2"/>
          <w:left w:val="single" w:color="CCCCCC" w:sz="2"/>
          <w:bottom w:val="single" w:color="CCCCCC" w:sz="2"/>
          <w:right w:val="single" w:color="CCCCCC" w:sz="2"/>
          <w:insideH w:val="single" w:color="CCCCCC" w:sz="2"/>
          <w:insideV w:val="single" w:color="CCCCCC" w:sz="2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6.666666666666668%"/>
            <w:shd w:fill="E7ECF3"/>
          </w:tcPr>
          <w:p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W w:type="pct" w:w="16.666666666666668%"/>
            <w:shd w:fill="E7ECF3"/>
          </w:tcPr>
          <w:p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W w:type="pct" w:w="16.666666666666668%"/>
            <w:shd w:fill="E7ECF3"/>
          </w:tcPr>
          <w:p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W w:type="pct" w:w="16.666666666666668%"/>
            <w:shd w:fill="E7ECF3"/>
          </w:tcPr>
          <w:p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W w:type="pct" w:w="16.666666666666668%"/>
            <w:shd w:fill="E7ECF3"/>
          </w:tcPr>
          <w:p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W w:type="pct" w:w="16.666666666666668%"/>
            <w:shd w:fill="E7ECF3"/>
          </w:tcPr>
          <w:p>
            <w:r>
              <w:rPr>
                <w:b/>
                <w:bCs/>
                <w:sz w:val="20"/>
                <w:szCs w:val="20"/>
              </w:rPr>
            </w:r>
          </w:p>
        </w:tc>
      </w:tr>
      <w:tr>
        <w:trPr>
          <w:tblHeader w:val="false"/>
        </w:trPr>
        <w:tc>
          <w:tcPr>
            <w:tcW w:type="pct" w:w="16.666666666666668%"/>
          </w:tcPr>
          <w:p>
            <w:r>
              <w:rPr>
                <w:sz w:val="20"/>
                <w:szCs w:val="20"/>
              </w:rPr>
            </w:r>
          </w:p>
        </w:tc>
        <w:tc>
          <w:tcPr>
            <w:tcW w:type="pct" w:w="16.666666666666668%"/>
          </w:tcPr>
          <w:p>
            <w:r>
              <w:rPr>
                <w:sz w:val="20"/>
                <w:szCs w:val="20"/>
              </w:rPr>
            </w:r>
          </w:p>
        </w:tc>
        <w:tc>
          <w:tcPr>
            <w:tcW w:type="pct" w:w="16.666666666666668%"/>
          </w:tcPr>
          <w:p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W w:type="pct" w:w="16.666666666666668%"/>
          </w:tcPr>
          <w:p>
            <w:r>
              <w:rPr>
                <w:sz w:val="20"/>
                <w:szCs w:val="20"/>
              </w:rPr>
            </w:r>
          </w:p>
        </w:tc>
        <w:tc>
          <w:tcPr>
            <w:tcW w:type="pct" w:w="16.666666666666668%"/>
          </w:tcPr>
          <w:p>
            <w:r>
              <w:rPr>
                <w:sz w:val="20"/>
                <w:szCs w:val="20"/>
              </w:rPr>
            </w:r>
          </w:p>
        </w:tc>
        <w:tc>
          <w:tcPr>
            <w:tcW w:type="pct" w:w="16.666666666666668%"/>
          </w:tcPr>
          <w:p>
            <w:r>
              <w:rPr>
                <w:sz w:val="20"/>
                <w:szCs w:val="20"/>
              </w:rPr>
            </w:r>
          </w:p>
        </w:tc>
      </w:tr>
      <w:tr>
        <w:trPr>
          <w:tblHeader w:val="false"/>
        </w:trPr>
        <w:tc>
          <w:tcPr>
            <w:tcW w:type="pct" w:w="16.666666666666668%"/>
          </w:tcPr>
          <w:p>
            <w:r>
              <w:rPr>
                <w:sz w:val="20"/>
                <w:szCs w:val="20"/>
              </w:rPr>
            </w:r>
          </w:p>
        </w:tc>
        <w:tc>
          <w:tcPr>
            <w:tcW w:type="pct" w:w="16.666666666666668%"/>
          </w:tcPr>
          <w:p>
            <w:r>
              <w:rPr>
                <w:sz w:val="20"/>
                <w:szCs w:val="20"/>
              </w:rPr>
            </w:r>
          </w:p>
        </w:tc>
        <w:tc>
          <w:tcPr>
            <w:tcW w:type="pct" w:w="16.666666666666668%"/>
          </w:tcPr>
          <w:p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W w:type="pct" w:w="16.666666666666668%"/>
          </w:tcPr>
          <w:p>
            <w:r>
              <w:rPr>
                <w:sz w:val="20"/>
                <w:szCs w:val="20"/>
              </w:rPr>
            </w:r>
          </w:p>
        </w:tc>
        <w:tc>
          <w:tcPr>
            <w:tcW w:type="pct" w:w="16.666666666666668%"/>
          </w:tcPr>
          <w:p>
            <w:r>
              <w:rPr>
                <w:sz w:val="20"/>
                <w:szCs w:val="20"/>
              </w:rPr>
            </w:r>
          </w:p>
        </w:tc>
        <w:tc>
          <w:tcPr>
            <w:tcW w:type="pct" w:w="16.666666666666668%"/>
          </w:tcPr>
          <w:p>
            <w:r>
              <w:rPr>
                <w:sz w:val="20"/>
                <w:szCs w:val="20"/>
              </w:rPr>
            </w:r>
          </w:p>
        </w:tc>
      </w:tr>
      <w:tr>
        <w:trPr>
          <w:tblHeader w:val="false"/>
        </w:trPr>
        <w:tc>
          <w:tcPr>
            <w:tcW w:type="pct" w:w="16.666666666666668%"/>
          </w:tcPr>
          <w:p>
            <w:r>
              <w:rPr>
                <w:sz w:val="20"/>
                <w:szCs w:val="20"/>
              </w:rPr>
            </w:r>
          </w:p>
        </w:tc>
        <w:tc>
          <w:tcPr>
            <w:tcW w:type="pct" w:w="16.666666666666668%"/>
          </w:tcPr>
          <w:p>
            <w:r>
              <w:rPr>
                <w:sz w:val="20"/>
                <w:szCs w:val="20"/>
              </w:rPr>
            </w:r>
          </w:p>
        </w:tc>
        <w:tc>
          <w:tcPr>
            <w:tcW w:type="pct" w:w="16.666666666666668%"/>
          </w:tcPr>
          <w:p>
            <w:r>
              <w:rPr>
                <w:sz w:val="20"/>
                <w:szCs w:val="20"/>
              </w:rPr>
            </w:r>
          </w:p>
        </w:tc>
        <w:tc>
          <w:tcPr>
            <w:tcW w:type="pct" w:w="16.666666666666668%"/>
          </w:tcPr>
          <w:p>
            <w:r>
              <w:rPr>
                <w:sz w:val="20"/>
                <w:szCs w:val="20"/>
              </w:rPr>
            </w:r>
          </w:p>
        </w:tc>
        <w:tc>
          <w:tcPr>
            <w:tcW w:type="pct" w:w="16.666666666666668%"/>
          </w:tcPr>
          <w:p>
            <w:r>
              <w:rPr>
                <w:sz w:val="20"/>
                <w:szCs w:val="20"/>
              </w:rPr>
            </w:r>
          </w:p>
        </w:tc>
        <w:tc>
          <w:tcPr>
            <w:tcW w:type="pct" w:w="16.666666666666668%"/>
          </w:tcPr>
          <w:p>
            <w:r>
              <w:rPr>
                <w:sz w:val="20"/>
                <w:szCs w:val="20"/>
              </w:rPr>
            </w:r>
          </w:p>
        </w:tc>
      </w:tr>
      <w:tr>
        <w:trPr>
          <w:tblHeader w:val="false"/>
        </w:trPr>
        <w:tc>
          <w:tcPr>
            <w:tcW w:type="pct" w:w="16.666666666666668%"/>
          </w:tcPr>
          <w:p>
            <w:r>
              <w:rPr>
                <w:sz w:val="20"/>
                <w:szCs w:val="20"/>
              </w:rPr>
            </w:r>
          </w:p>
        </w:tc>
        <w:tc>
          <w:tcPr>
            <w:tcW w:type="pct" w:w="16.666666666666668%"/>
          </w:tcPr>
          <w:p>
            <w:r>
              <w:rPr>
                <w:sz w:val="20"/>
                <w:szCs w:val="20"/>
              </w:rPr>
            </w:r>
          </w:p>
        </w:tc>
        <w:tc>
          <w:tcPr>
            <w:tcW w:type="pct" w:w="16.666666666666668%"/>
          </w:tcPr>
          <w:p>
            <w:r>
              <w:rPr>
                <w:sz w:val="20"/>
                <w:szCs w:val="20"/>
              </w:rPr>
            </w:r>
          </w:p>
        </w:tc>
        <w:tc>
          <w:tcPr>
            <w:tcW w:type="pct" w:w="16.666666666666668%"/>
          </w:tcPr>
          <w:p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W w:type="pct" w:w="16.666666666666668%"/>
          </w:tcPr>
          <w:p>
            <w:r>
              <w:rPr>
                <w:sz w:val="20"/>
                <w:szCs w:val="20"/>
              </w:rPr>
            </w:r>
          </w:p>
        </w:tc>
        <w:tc>
          <w:tcPr>
            <w:tcW w:type="pct" w:w="16.666666666666668%"/>
          </w:tcPr>
          <w:p>
            <w:r>
              <w:rPr>
                <w:sz w:val="20"/>
                <w:szCs w:val="20"/>
              </w:rPr>
            </w:r>
          </w:p>
        </w:tc>
      </w:tr>
      <w:tr>
        <w:trPr>
          <w:tblHeader w:val="false"/>
        </w:trPr>
        <w:tc>
          <w:tcPr>
            <w:tcW w:type="pct" w:w="16.666666666666668%"/>
          </w:tcPr>
          <w:p>
            <w:r>
              <w:rPr>
                <w:sz w:val="20"/>
                <w:szCs w:val="20"/>
              </w:rPr>
            </w:r>
          </w:p>
        </w:tc>
        <w:tc>
          <w:tcPr>
            <w:tcW w:type="pct" w:w="16.666666666666668%"/>
          </w:tcPr>
          <w:p>
            <w:r>
              <w:rPr>
                <w:sz w:val="20"/>
                <w:szCs w:val="20"/>
              </w:rPr>
            </w:r>
          </w:p>
        </w:tc>
        <w:tc>
          <w:tcPr>
            <w:tcW w:type="pct" w:w="16.666666666666668%"/>
          </w:tcPr>
          <w:p>
            <w:r>
              <w:rPr>
                <w:sz w:val="20"/>
                <w:szCs w:val="20"/>
              </w:rPr>
            </w:r>
          </w:p>
        </w:tc>
        <w:tc>
          <w:tcPr>
            <w:tcW w:type="pct" w:w="16.666666666666668%"/>
          </w:tcPr>
          <w:p>
            <w:r>
              <w:rPr>
                <w:sz w:val="20"/>
                <w:szCs w:val="20"/>
              </w:rPr>
            </w:r>
          </w:p>
        </w:tc>
        <w:tc>
          <w:tcPr>
            <w:tcW w:type="pct" w:w="16.666666666666668%"/>
          </w:tcPr>
          <w:p>
            <w:r>
              <w:rPr>
                <w:sz w:val="20"/>
                <w:szCs w:val="20"/>
              </w:rPr>
            </w:r>
          </w:p>
        </w:tc>
        <w:tc>
          <w:tcPr>
            <w:tcW w:type="pct" w:w="16.666666666666668%"/>
          </w:tcPr>
          <w:p>
            <w:r>
              <w:rPr>
                <w:sz w:val="20"/>
                <w:szCs w:val="20"/>
              </w:rPr>
            </w:r>
          </w:p>
        </w:tc>
      </w:tr>
      <w:tr>
        <w:trPr>
          <w:tblHeader w:val="false"/>
        </w:trPr>
        <w:tc>
          <w:tcPr>
            <w:tcW w:type="pct" w:w="16.666666666666668%"/>
          </w:tcPr>
          <w:p>
            <w:r>
              <w:rPr>
                <w:sz w:val="20"/>
                <w:szCs w:val="20"/>
              </w:rPr>
            </w:r>
          </w:p>
        </w:tc>
        <w:tc>
          <w:tcPr>
            <w:tcW w:type="pct" w:w="16.666666666666668%"/>
          </w:tcPr>
          <w:p>
            <w:r>
              <w:rPr>
                <w:sz w:val="20"/>
                <w:szCs w:val="20"/>
              </w:rPr>
            </w:r>
          </w:p>
        </w:tc>
        <w:tc>
          <w:tcPr>
            <w:tcW w:type="pct" w:w="16.666666666666668%"/>
          </w:tcPr>
          <w:p>
            <w:r>
              <w:rPr>
                <w:sz w:val="20"/>
                <w:szCs w:val="20"/>
              </w:rPr>
            </w:r>
          </w:p>
        </w:tc>
        <w:tc>
          <w:tcPr>
            <w:tcW w:type="pct" w:w="16.666666666666668%"/>
          </w:tcPr>
          <w:p>
            <w:r>
              <w:rPr>
                <w:sz w:val="20"/>
                <w:szCs w:val="20"/>
              </w:rPr>
            </w:r>
          </w:p>
        </w:tc>
        <w:tc>
          <w:tcPr>
            <w:tcW w:type="pct" w:w="16.666666666666668%"/>
          </w:tcPr>
          <w:p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W w:type="pct" w:w="16.666666666666668%"/>
          </w:tcPr>
          <w:p>
            <w:r>
              <w:rPr>
                <w:sz w:val="20"/>
                <w:szCs w:val="20"/>
              </w:rPr>
            </w:r>
          </w:p>
        </w:tc>
      </w:tr>
      <w:tr>
        <w:trPr>
          <w:tblHeader w:val="false"/>
        </w:trPr>
        <w:tc>
          <w:tcPr>
            <w:tcW w:type="pct" w:w="16.666666666666668%"/>
          </w:tcPr>
          <w:p>
            <w:r>
              <w:rPr>
                <w:sz w:val="20"/>
                <w:szCs w:val="20"/>
              </w:rPr>
            </w:r>
          </w:p>
        </w:tc>
        <w:tc>
          <w:tcPr>
            <w:tcW w:type="pct" w:w="16.666666666666668%"/>
          </w:tcPr>
          <w:p>
            <w:r>
              <w:rPr>
                <w:sz w:val="20"/>
                <w:szCs w:val="20"/>
              </w:rPr>
            </w:r>
          </w:p>
        </w:tc>
        <w:tc>
          <w:tcPr>
            <w:tcW w:type="pct" w:w="16.666666666666668%"/>
          </w:tcPr>
          <w:p>
            <w:r>
              <w:rPr>
                <w:sz w:val="20"/>
                <w:szCs w:val="20"/>
              </w:rPr>
            </w:r>
          </w:p>
        </w:tc>
        <w:tc>
          <w:tcPr>
            <w:tcW w:type="pct" w:w="16.666666666666668%"/>
          </w:tcPr>
          <w:p>
            <w:r>
              <w:rPr>
                <w:sz w:val="20"/>
                <w:szCs w:val="20"/>
              </w:rPr>
            </w:r>
          </w:p>
        </w:tc>
        <w:tc>
          <w:tcPr>
            <w:tcW w:type="pct" w:w="16.666666666666668%"/>
          </w:tcPr>
          <w:p>
            <w:r>
              <w:rPr>
                <w:sz w:val="20"/>
                <w:szCs w:val="20"/>
              </w:rPr>
            </w:r>
          </w:p>
        </w:tc>
        <w:tc>
          <w:tcPr>
            <w:tcW w:type="pct" w:w="16.666666666666668%"/>
          </w:tcPr>
          <w:p>
            <w:r>
              <w:rPr>
                <w:sz w:val="20"/>
                <w:szCs w:val="20"/>
              </w:rPr>
            </w:r>
          </w:p>
        </w:tc>
      </w:tr>
    </w:tbl>
    <w:p>
      <w:pPr>
        <w:spacing w:after="120"/>
      </w:pPr>
    </w:p>
    <w:p/>
    <w:p>
      <w:pPr>
        <w:pStyle w:val="Heading1"/>
        <w:spacing w:after="120" w:before="240"/>
      </w:pPr>
      <w:r>
        <w:rPr>
          <w:rFonts w:ascii="Calibri" w:cs="Calibri" w:eastAsia="Calibri" w:hAnsi="Calibri"/>
        </w:rPr>
        <w:t xml:space="preserve">Folder structure</w:t>
      </w:r>
    </w:p>
    <w:p/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Public Health Tracker/            # git repo root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Project Documents/              # PM/product docs (this file's folder)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web/                            # Next.js application root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app/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page.tsx                    # Server Component: imports JSON, renders Dashboard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layout.tsx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globals.css                 # Design tokens (see 12-visual-style-guide.md)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components/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Dashboard.tsx                # Top-level client component, all interactive state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Choropleth.tsx                # Map rendering, tooltip, legend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OverviewStrip.tsx             # 4 status cards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ChronicDiseasePanel.tsx       # Chronic-disease tab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lib/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pophive/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duckdb.ts                  # DuckDB query helper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fips.ts                    # FIPS padding/exclusion helpers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states.ts                  # US state FIPS/name/abbr crosswalk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types.ts                   # Shared data types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bands.ts                   # Our own level/trend heuristics (documented as approximate)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overallTrends.ts            # flu/covid/rsv overview + state series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measles.ts                  # measles weekly/cumulative series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countyEdVisits.ts           # county-level ED-visit series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vaccination.ts              # MMR coverage (HealthMap + NIS)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chronic.ts                  # diabetes/obesity/opioid-overdose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nycDohmh.ts                  # NYC borough CSV fetch/parse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topology.ts                  # us-atlas TopoJSON -&gt; GeoJSON helpers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scripts/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build-data.ts                # Orchestrates the full pipeline, writes JSON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inspect-bundle.mjs           # Dev tool: print schema/sample rows for any PopHIVE file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data/generated/                # Output JSON (gitignored, regenerated every build)</w:t>
      </w:r>
    </w:p>
    <w:p/>
    <w:p>
      <w:pPr>
        <w:pStyle w:val="Heading1"/>
        <w:spacing w:after="120" w:before="240"/>
      </w:pPr>
      <w:r>
        <w:rPr>
          <w:rFonts w:ascii="Calibri" w:cs="Calibri" w:eastAsia="Calibri" w:hAnsi="Calibri"/>
        </w:rPr>
        <w:t xml:space="preserve">Code organization</w:t>
      </w:r>
    </w:p>
    <w:p/>
    <w:tbl>
      <w:tblPr>
        <w:tblW w:type="pct" w:w="100%"/>
        <w:tblBorders>
          <w:top w:val="single" w:color="CCCCCC" w:sz="2"/>
          <w:left w:val="single" w:color="CCCCCC" w:sz="2"/>
          <w:bottom w:val="single" w:color="CCCCCC" w:sz="2"/>
          <w:right w:val="single" w:color="CCCCCC" w:sz="2"/>
          <w:insideH w:val="single" w:color="CCCCCC" w:sz="2"/>
          <w:insideV w:val="single" w:color="CCCCCC" w:sz="2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5%"/>
            <w:shd w:fill="E7ECF3"/>
          </w:tcPr>
          <w:p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W w:type="pct" w:w="25%"/>
            <w:shd w:fill="E7ECF3"/>
          </w:tcPr>
          <w:p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W w:type="pct" w:w="25%"/>
            <w:shd w:fill="E7ECF3"/>
          </w:tcPr>
          <w:p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W w:type="pct" w:w="25%"/>
            <w:shd w:fill="E7ECF3"/>
          </w:tcPr>
          <w:p>
            <w:r>
              <w:rPr>
                <w:b/>
                <w:bCs/>
                <w:sz w:val="20"/>
                <w:szCs w:val="20"/>
              </w:rPr>
            </w:r>
          </w:p>
        </w:tc>
      </w:tr>
      <w:tr>
        <w:trPr>
          <w:tblHeader w:val="false"/>
        </w:trPr>
        <w:tc>
          <w:tcPr>
            <w:tcW w:type="pct" w:w="25%"/>
          </w:tcPr>
          <w:p>
            <w:r>
              <w:rPr>
                <w:sz w:val="20"/>
                <w:szCs w:val="20"/>
              </w:rPr>
            </w:r>
          </w:p>
        </w:tc>
        <w:tc>
          <w:tcPr>
            <w:tcW w:type="pct" w:w="25%"/>
          </w:tcPr>
          <w:p>
            <w:r>
              <w:rPr>
                <w:sz w:val="20"/>
                <w:szCs w:val="20"/>
              </w:rPr>
            </w:r>
          </w:p>
        </w:tc>
        <w:tc>
          <w:tcPr>
            <w:tcW w:type="pct" w:w="25%"/>
          </w:tcPr>
          <w:p>
            <w:r>
              <w:rPr>
                <w:sz w:val="20"/>
                <w:szCs w:val="20"/>
              </w:rPr>
            </w:r>
          </w:p>
        </w:tc>
        <w:tc>
          <w:tcPr>
            <w:tcW w:type="pct" w:w="25%"/>
          </w:tcPr>
          <w:p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tblHeader w:val="false"/>
        </w:trPr>
        <w:tc>
          <w:tcPr>
            <w:tcW w:type="pct" w:w="25%"/>
          </w:tcPr>
          <w:p>
            <w:r>
              <w:rPr>
                <w:sz w:val="20"/>
                <w:szCs w:val="20"/>
              </w:rPr>
            </w:r>
          </w:p>
        </w:tc>
        <w:tc>
          <w:tcPr>
            <w:tcW w:type="pct" w:w="25%"/>
          </w:tcPr>
          <w:p>
            <w:r>
              <w:rPr>
                <w:sz w:val="20"/>
                <w:szCs w:val="20"/>
              </w:rPr>
            </w:r>
          </w:p>
        </w:tc>
        <w:tc>
          <w:tcPr>
            <w:tcW w:type="pct" w:w="25%"/>
          </w:tcPr>
          <w:p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W w:type="pct" w:w="25%"/>
          </w:tcPr>
          <w:p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tblHeader w:val="false"/>
        </w:trPr>
        <w:tc>
          <w:tcPr>
            <w:tcW w:type="pct" w:w="25%"/>
          </w:tcPr>
          <w:p>
            <w:r>
              <w:rPr>
                <w:sz w:val="20"/>
                <w:szCs w:val="20"/>
              </w:rPr>
            </w:r>
          </w:p>
        </w:tc>
        <w:tc>
          <w:tcPr>
            <w:tcW w:type="pct" w:w="25%"/>
          </w:tcPr>
          <w:p>
            <w:r>
              <w:rPr>
                <w:sz w:val="20"/>
                <w:szCs w:val="20"/>
              </w:rPr>
            </w:r>
          </w:p>
        </w:tc>
        <w:tc>
          <w:tcPr>
            <w:tcW w:type="pct" w:w="25%"/>
          </w:tcPr>
          <w:p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W w:type="pct" w:w="25%"/>
          </w:tcPr>
          <w:p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tblHeader w:val="false"/>
        </w:trPr>
        <w:tc>
          <w:tcPr>
            <w:tcW w:type="pct" w:w="25%"/>
          </w:tcPr>
          <w:p>
            <w:r>
              <w:rPr>
                <w:sz w:val="20"/>
                <w:szCs w:val="20"/>
              </w:rPr>
            </w:r>
          </w:p>
        </w:tc>
        <w:tc>
          <w:tcPr>
            <w:tcW w:type="pct" w:w="25%"/>
          </w:tcPr>
          <w:p>
            <w:r>
              <w:rPr>
                <w:sz w:val="20"/>
                <w:szCs w:val="20"/>
              </w:rPr>
            </w:r>
          </w:p>
        </w:tc>
        <w:tc>
          <w:tcPr>
            <w:tcW w:type="pct" w:w="25%"/>
          </w:tcPr>
          <w:p>
            <w:r>
              <w:rPr>
                <w:sz w:val="20"/>
                <w:szCs w:val="20"/>
              </w:rPr>
            </w:r>
          </w:p>
        </w:tc>
        <w:tc>
          <w:tcPr>
            <w:tcW w:type="pct" w:w="25%"/>
          </w:tcPr>
          <w:p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tblHeader w:val="false"/>
        </w:trPr>
        <w:tc>
          <w:tcPr>
            <w:tcW w:type="pct" w:w="25%"/>
          </w:tcPr>
          <w:p>
            <w:r>
              <w:rPr>
                <w:sz w:val="20"/>
                <w:szCs w:val="20"/>
              </w:rPr>
            </w:r>
          </w:p>
        </w:tc>
        <w:tc>
          <w:tcPr>
            <w:tcW w:type="pct" w:w="25%"/>
          </w:tcPr>
          <w:p>
            <w:r>
              <w:rPr>
                <w:sz w:val="20"/>
                <w:szCs w:val="20"/>
              </w:rPr>
            </w:r>
          </w:p>
        </w:tc>
        <w:tc>
          <w:tcPr>
            <w:tcW w:type="pct" w:w="25%"/>
          </w:tcPr>
          <w:p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W w:type="pct" w:w="25%"/>
          </w:tcPr>
          <w:p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tblHeader w:val="false"/>
        </w:trPr>
        <w:tc>
          <w:tcPr>
            <w:tcW w:type="pct" w:w="25%"/>
          </w:tcPr>
          <w:p>
            <w:r>
              <w:rPr>
                <w:sz w:val="20"/>
                <w:szCs w:val="20"/>
              </w:rPr>
            </w:r>
          </w:p>
        </w:tc>
        <w:tc>
          <w:tcPr>
            <w:tcW w:type="pct" w:w="25%"/>
          </w:tcPr>
          <w:p>
            <w:r>
              <w:rPr>
                <w:sz w:val="20"/>
                <w:szCs w:val="20"/>
              </w:rPr>
            </w:r>
          </w:p>
        </w:tc>
        <w:tc>
          <w:tcPr>
            <w:tcW w:type="pct" w:w="25%"/>
          </w:tcPr>
          <w:p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W w:type="pct" w:w="25%"/>
          </w:tcPr>
          <w:p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tblHeader w:val="false"/>
        </w:trPr>
        <w:tc>
          <w:tcPr>
            <w:tcW w:type="pct" w:w="25%"/>
          </w:tcPr>
          <w:p>
            <w:r>
              <w:rPr>
                <w:sz w:val="20"/>
                <w:szCs w:val="20"/>
              </w:rPr>
            </w:r>
          </w:p>
        </w:tc>
        <w:tc>
          <w:tcPr>
            <w:tcW w:type="pct" w:w="25%"/>
          </w:tcPr>
          <w:p>
            <w:r>
              <w:rPr>
                <w:sz w:val="20"/>
                <w:szCs w:val="20"/>
              </w:rPr>
            </w:r>
          </w:p>
        </w:tc>
        <w:tc>
          <w:tcPr>
            <w:tcW w:type="pct" w:w="25%"/>
          </w:tcPr>
          <w:p>
            <w:r>
              <w:rPr>
                <w:sz w:val="20"/>
                <w:szCs w:val="20"/>
              </w:rPr>
            </w:r>
          </w:p>
        </w:tc>
        <w:tc>
          <w:tcPr>
            <w:tcW w:type="pct" w:w="25%"/>
          </w:tcPr>
          <w:p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tblHeader w:val="false"/>
        </w:trPr>
        <w:tc>
          <w:tcPr>
            <w:tcW w:type="pct" w:w="25%"/>
          </w:tcPr>
          <w:p>
            <w:r>
              <w:rPr>
                <w:sz w:val="20"/>
                <w:szCs w:val="20"/>
              </w:rPr>
            </w:r>
          </w:p>
        </w:tc>
        <w:tc>
          <w:tcPr>
            <w:tcW w:type="pct" w:w="25%"/>
          </w:tcPr>
          <w:p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W w:type="pct" w:w="25%"/>
          </w:tcPr>
          <w:p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W w:type="pct" w:w="25%"/>
          </w:tcPr>
          <w:p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tblHeader w:val="false"/>
        </w:trPr>
        <w:tc>
          <w:tcPr>
            <w:tcW w:type="pct" w:w="25%"/>
          </w:tcPr>
          <w:p>
            <w:r>
              <w:rPr>
                <w:sz w:val="20"/>
                <w:szCs w:val="20"/>
              </w:rPr>
            </w:r>
          </w:p>
        </w:tc>
        <w:tc>
          <w:tcPr>
            <w:tcW w:type="pct" w:w="25%"/>
          </w:tcPr>
          <w:p>
            <w:r>
              <w:rPr>
                <w:sz w:val="20"/>
                <w:szCs w:val="20"/>
              </w:rPr>
            </w:r>
          </w:p>
        </w:tc>
        <w:tc>
          <w:tcPr>
            <w:tcW w:type="pct" w:w="25%"/>
          </w:tcPr>
          <w:p>
            <w:r>
              <w:rPr>
                <w:sz w:val="20"/>
                <w:szCs w:val="20"/>
              </w:rPr>
            </w:r>
          </w:p>
        </w:tc>
        <w:tc>
          <w:tcPr>
            <w:tcW w:type="pct" w:w="25%"/>
          </w:tcPr>
          <w:p>
            <w:r>
              <w:rPr>
                <w:sz w:val="20"/>
                <w:szCs w:val="20"/>
              </w:rPr>
            </w:r>
          </w:p>
        </w:tc>
      </w:tr>
    </w:tbl>
    <w:p>
      <w:pPr>
        <w:spacing w:after="120"/>
      </w:pPr>
    </w:p>
    <w:p/>
    <w:p>
      <w:pPr>
        <w:pStyle w:val="Heading1"/>
        <w:spacing w:after="120" w:before="240"/>
      </w:pPr>
      <w:r>
        <w:rPr>
          <w:rFonts w:ascii="Calibri" w:cs="Calibri" w:eastAsia="Calibri" w:hAnsi="Calibri"/>
        </w:rPr>
        <w:t xml:space="preserve">APIs and integrations</w:t>
      </w:r>
    </w:p>
    <w:p/>
    <w:tbl>
      <w:tblPr>
        <w:tblW w:type="pct" w:w="100%"/>
        <w:tblBorders>
          <w:top w:val="single" w:color="CCCCCC" w:sz="2"/>
          <w:left w:val="single" w:color="CCCCCC" w:sz="2"/>
          <w:bottom w:val="single" w:color="CCCCCC" w:sz="2"/>
          <w:right w:val="single" w:color="CCCCCC" w:sz="2"/>
          <w:insideH w:val="single" w:color="CCCCCC" w:sz="2"/>
          <w:insideV w:val="single" w:color="CCCCCC" w:sz="2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6.666666666666668%"/>
            <w:shd w:fill="E7ECF3"/>
          </w:tcPr>
          <w:p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W w:type="pct" w:w="16.666666666666668%"/>
            <w:shd w:fill="E7ECF3"/>
          </w:tcPr>
          <w:p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W w:type="pct" w:w="16.666666666666668%"/>
            <w:shd w:fill="E7ECF3"/>
          </w:tcPr>
          <w:p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W w:type="pct" w:w="16.666666666666668%"/>
            <w:shd w:fill="E7ECF3"/>
          </w:tcPr>
          <w:p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W w:type="pct" w:w="16.666666666666668%"/>
            <w:shd w:fill="E7ECF3"/>
          </w:tcPr>
          <w:p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W w:type="pct" w:w="16.666666666666668%"/>
            <w:shd w:fill="E7ECF3"/>
          </w:tcPr>
          <w:p>
            <w:r>
              <w:rPr>
                <w:b/>
                <w:bCs/>
                <w:sz w:val="20"/>
                <w:szCs w:val="20"/>
              </w:rPr>
            </w:r>
          </w:p>
        </w:tc>
      </w:tr>
      <w:tr>
        <w:trPr>
          <w:tblHeader w:val="false"/>
        </w:trPr>
        <w:tc>
          <w:tcPr>
            <w:tcW w:type="pct" w:w="16.666666666666668%"/>
          </w:tcPr>
          <w:p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W w:type="pct" w:w="16.666666666666668%"/>
          </w:tcPr>
          <w:p>
            <w:r>
              <w:rPr>
                <w:sz w:val="20"/>
                <w:szCs w:val="20"/>
              </w:rPr>
            </w:r>
          </w:p>
        </w:tc>
        <w:tc>
          <w:tcPr>
            <w:tcW w:type="pct" w:w="16.666666666666668%"/>
          </w:tcPr>
          <w:p>
            <w:r>
              <w:rPr>
                <w:sz w:val="20"/>
                <w:szCs w:val="20"/>
              </w:rPr>
            </w:r>
          </w:p>
        </w:tc>
        <w:tc>
          <w:tcPr>
            <w:tcW w:type="pct" w:w="16.666666666666668%"/>
          </w:tcPr>
          <w:p>
            <w:r>
              <w:rPr>
                <w:sz w:val="20"/>
                <w:szCs w:val="20"/>
              </w:rPr>
            </w:r>
          </w:p>
        </w:tc>
        <w:tc>
          <w:tcPr>
            <w:tcW w:type="pct" w:w="16.666666666666668%"/>
          </w:tcPr>
          <w:p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W w:type="pct" w:w="16.666666666666668%"/>
          </w:tcPr>
          <w:p>
            <w:r>
              <w:rPr>
                <w:sz w:val="20"/>
                <w:szCs w:val="20"/>
              </w:rPr>
            </w:r>
          </w:p>
        </w:tc>
      </w:tr>
      <w:tr>
        <w:trPr>
          <w:tblHeader w:val="false"/>
        </w:trPr>
        <w:tc>
          <w:tcPr>
            <w:tcW w:type="pct" w:w="16.666666666666668%"/>
          </w:tcPr>
          <w:p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W w:type="pct" w:w="16.666666666666668%"/>
          </w:tcPr>
          <w:p>
            <w:r>
              <w:rPr>
                <w:sz w:val="20"/>
                <w:szCs w:val="20"/>
              </w:rPr>
            </w:r>
          </w:p>
        </w:tc>
        <w:tc>
          <w:tcPr>
            <w:tcW w:type="pct" w:w="16.666666666666668%"/>
          </w:tcPr>
          <w:p>
            <w:r>
              <w:rPr>
                <w:sz w:val="20"/>
                <w:szCs w:val="20"/>
              </w:rPr>
            </w:r>
          </w:p>
        </w:tc>
        <w:tc>
          <w:tcPr>
            <w:tcW w:type="pct" w:w="16.666666666666668%"/>
          </w:tcPr>
          <w:p>
            <w:r>
              <w:rPr>
                <w:sz w:val="20"/>
                <w:szCs w:val="20"/>
              </w:rPr>
            </w:r>
          </w:p>
        </w:tc>
        <w:tc>
          <w:tcPr>
            <w:tcW w:type="pct" w:w="16.666666666666668%"/>
          </w:tcPr>
          <w:p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W w:type="pct" w:w="16.666666666666668%"/>
          </w:tcPr>
          <w:p>
            <w:r>
              <w:rPr>
                <w:sz w:val="20"/>
                <w:szCs w:val="20"/>
              </w:rPr>
            </w:r>
          </w:p>
        </w:tc>
      </w:tr>
      <w:tr>
        <w:trPr>
          <w:tblHeader w:val="false"/>
        </w:trPr>
        <w:tc>
          <w:tcPr>
            <w:tcW w:type="pct" w:w="16.666666666666668%"/>
          </w:tcPr>
          <w:p>
            <w:r>
              <w:rPr>
                <w:sz w:val="20"/>
                <w:szCs w:val="20"/>
              </w:rPr>
            </w:r>
          </w:p>
        </w:tc>
        <w:tc>
          <w:tcPr>
            <w:tcW w:type="pct" w:w="16.666666666666668%"/>
          </w:tcPr>
          <w:p>
            <w:r>
              <w:rPr>
                <w:sz w:val="20"/>
                <w:szCs w:val="20"/>
              </w:rPr>
            </w:r>
          </w:p>
        </w:tc>
        <w:tc>
          <w:tcPr>
            <w:tcW w:type="pct" w:w="16.666666666666668%"/>
          </w:tcPr>
          <w:p>
            <w:r>
              <w:rPr>
                <w:sz w:val="20"/>
                <w:szCs w:val="20"/>
              </w:rPr>
            </w:r>
          </w:p>
        </w:tc>
        <w:tc>
          <w:tcPr>
            <w:tcW w:type="pct" w:w="16.666666666666668%"/>
          </w:tcPr>
          <w:p>
            <w:r>
              <w:rPr>
                <w:sz w:val="20"/>
                <w:szCs w:val="20"/>
              </w:rPr>
            </w:r>
          </w:p>
        </w:tc>
        <w:tc>
          <w:tcPr>
            <w:tcW w:type="pct" w:w="16.666666666666668%"/>
          </w:tcPr>
          <w:p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W w:type="pct" w:w="16.666666666666668%"/>
          </w:tcPr>
          <w:p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tblHeader w:val="false"/>
        </w:trPr>
        <w:tc>
          <w:tcPr>
            <w:tcW w:type="pct" w:w="16.666666666666668%"/>
          </w:tcPr>
          <w:p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W w:type="pct" w:w="16.666666666666668%"/>
          </w:tcPr>
          <w:p>
            <w:r>
              <w:rPr>
                <w:sz w:val="20"/>
                <w:szCs w:val="20"/>
              </w:rPr>
            </w:r>
          </w:p>
        </w:tc>
        <w:tc>
          <w:tcPr>
            <w:tcW w:type="pct" w:w="16.666666666666668%"/>
          </w:tcPr>
          <w:p>
            <w:r>
              <w:rPr>
                <w:sz w:val="20"/>
                <w:szCs w:val="20"/>
              </w:rPr>
            </w:r>
          </w:p>
        </w:tc>
        <w:tc>
          <w:tcPr>
            <w:tcW w:type="pct" w:w="16.666666666666668%"/>
          </w:tcPr>
          <w:p>
            <w:r>
              <w:rPr>
                <w:sz w:val="20"/>
                <w:szCs w:val="20"/>
              </w:rPr>
            </w:r>
          </w:p>
        </w:tc>
        <w:tc>
          <w:tcPr>
            <w:tcW w:type="pct" w:w="16.666666666666668%"/>
          </w:tcPr>
          <w:p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W w:type="pct" w:w="16.666666666666668%"/>
          </w:tcPr>
          <w:p>
            <w:r>
              <w:rPr>
                <w:sz w:val="20"/>
                <w:szCs w:val="20"/>
              </w:rPr>
            </w:r>
          </w:p>
        </w:tc>
      </w:tr>
    </w:tbl>
    <w:p>
      <w:pPr>
        <w:spacing w:after="120"/>
      </w:pPr>
    </w:p>
    <w:p/>
    <w:p>
      <w:pPr>
        <w:pStyle w:val="Heading2"/>
        <w:spacing w:after="120" w:before="240"/>
      </w:pPr>
      <w:r>
        <w:rPr>
          <w:rFonts w:ascii="Calibri" w:cs="Calibri" w:eastAsia="Calibri" w:hAnsi="Calibri"/>
        </w:rPr>
        <w:t xml:space="preserve">Confirmed NYC DOHMH schema (M3 spike, 2026-07-26)</w:t>
      </w:r>
    </w:p>
    <w:p/>
    <w:p>
      <w:pPr>
        <w:spacing w:after="80"/>
      </w:pPr>
      <w:r>
        <w:rPr>
          <w:rFonts w:ascii="Calibri" w:cs="Calibri" w:eastAsia="Calibri" w:hAnsi="Calibri"/>
        </w:rPr>
        <w:t xml:space="preserve">Verified via direct fetch of the raw CSVs (not assumed from the repo's README):</w:t>
      </w:r>
    </w:p>
    <w:p/>
    <w:p>
      <w:pPr>
        <w:pStyle w:val="ListParagraph"/>
        <w:numPr>
          <w:ilvl w:val="0"/>
          <w:numId w:val="1"/>
        </w:numPr>
      </w:pPr>
      <w:r>
        <w:rPr>
          <w:rFonts w:ascii="Consolas" w:cs="Consolas" w:eastAsia="Consolas" w:hAnsi="Consolas"/>
          <w:sz w:val="20"/>
          <w:szCs w:val="20"/>
          <w:shd w:fill="F2F2F2"/>
        </w:rPr>
        <w:t xml:space="preserve">ED_data_influenza.csv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sz w:val="20"/>
          <w:szCs w:val="20"/>
          <w:shd w:fill="F2F2F2"/>
        </w:rPr>
        <w:t xml:space="preserve">ED_data_COVID-19.csv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sz w:val="20"/>
          <w:szCs w:val="20"/>
          <w:shd w:fill="F2F2F2"/>
        </w:rPr>
        <w:t xml:space="preserve">ED_data_RSV.csv</w:t>
      </w:r>
      <w:r>
        <w:rPr>
          <w:rFonts w:ascii="Calibri" w:cs="Calibri" w:eastAsia="Calibri" w:hAnsi="Calibri"/>
        </w:rPr>
        <w:t xml:space="preserve"> — each: </w:t>
      </w:r>
      <w:r>
        <w:rPr>
          <w:rFonts w:ascii="Consolas" w:cs="Consolas" w:eastAsia="Consolas" w:hAnsi="Consolas"/>
          <w:sz w:val="20"/>
          <w:szCs w:val="20"/>
          <w:shd w:fill="F2F2F2"/>
        </w:rPr>
        <w:t xml:space="preserve">date, {Disease} visits overall, visits 0-4, visits 5-17, visits 18-64, visits 65+, visits Bronx, visits Brooklyn, visits Queens, visits Manhattan, visits Staten Island, {Disease} hospitalizations overall, ...(same age/borough breakdown)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1"/>
        </w:numPr>
      </w:pPr>
      <w:r>
        <w:rPr>
          <w:rFonts w:ascii="Calibri" w:cs="Calibri" w:eastAsia="Calibri" w:hAnsi="Calibri"/>
        </w:rPr>
        <w:t xml:space="preserve">Confirmed borough values are genuinely distinct per row (not a shared/duplicated value), unlike PopHIVE's NSSP HSA-level rows.</w:t>
      </w:r>
    </w:p>
    <w:p>
      <w:pPr>
        <w:pStyle w:val="ListParagraph"/>
        <w:numPr>
          <w:ilvl w:val="0"/>
          <w:numId w:val="1"/>
        </w:numPr>
      </w:pPr>
      <w:r>
        <w:rPr>
          <w:rFonts w:ascii="Calibri" w:cs="Calibri" w:eastAsia="Calibri" w:hAnsi="Calibri"/>
        </w:rPr>
        <w:t xml:space="preserve">Confirmed continuously updated through the same week as PopHIVE at check time (2026-07-18) — not gapped outside the Oct-May flu/RSV season as the repo's human- readable weekly bulletins might suggest; that description applies to the PDF bulletins, not this CSV feed.</w:t>
      </w:r>
    </w:p>
    <w:p>
      <w:pPr>
        <w:pStyle w:val="ListParagraph"/>
        <w:numPr>
          <w:ilvl w:val="0"/>
          <w:numId w:val="1"/>
        </w:numPr>
      </w:pPr>
      <w:r>
        <w:rPr>
          <w:rFonts w:ascii="Calibri" w:cs="Calibri" w:eastAsia="Calibri" w:hAnsi="Calibri"/>
        </w:rPr>
        <w:t xml:space="preserve">No measles file exists in this repo — measles has no per-borough source at all (PopHIVE's own measles data is state-level only), disclosed as such in the UI rather than silently omitted.</w:t>
      </w:r>
    </w:p>
    <w:p/>
    <w:p>
      <w:pPr>
        <w:pStyle w:val="Heading1"/>
        <w:spacing w:after="120" w:before="240"/>
      </w:pPr>
      <w:r>
        <w:rPr>
          <w:rFonts w:ascii="Calibri" w:cs="Calibri" w:eastAsia="Calibri" w:hAnsi="Calibri"/>
        </w:rPr>
        <w:t xml:space="preserve">Data model and storage</w:t>
      </w:r>
    </w:p>
    <w:p/>
    <w:tbl>
      <w:tblPr>
        <w:tblW w:type="pct" w:w="100%"/>
        <w:tblBorders>
          <w:top w:val="single" w:color="CCCCCC" w:sz="2"/>
          <w:left w:val="single" w:color="CCCCCC" w:sz="2"/>
          <w:bottom w:val="single" w:color="CCCCCC" w:sz="2"/>
          <w:right w:val="single" w:color="CCCCCC" w:sz="2"/>
          <w:insideH w:val="single" w:color="CCCCCC" w:sz="2"/>
          <w:insideV w:val="single" w:color="CCCCCC" w:sz="2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0%"/>
            <w:shd w:fill="E7ECF3"/>
          </w:tcPr>
          <w:p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W w:type="pct" w:w="20%"/>
            <w:shd w:fill="E7ECF3"/>
          </w:tcPr>
          <w:p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W w:type="pct" w:w="20%"/>
            <w:shd w:fill="E7ECF3"/>
          </w:tcPr>
          <w:p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W w:type="pct" w:w="20%"/>
            <w:shd w:fill="E7ECF3"/>
          </w:tcPr>
          <w:p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W w:type="pct" w:w="20%"/>
            <w:shd w:fill="E7ECF3"/>
          </w:tcPr>
          <w:p>
            <w:r>
              <w:rPr>
                <w:b/>
                <w:bCs/>
                <w:sz w:val="20"/>
                <w:szCs w:val="20"/>
              </w:rPr>
            </w:r>
          </w:p>
        </w:tc>
      </w:tr>
      <w:tr>
        <w:trPr>
          <w:tblHeader w:val="false"/>
        </w:trPr>
        <w:tc>
          <w:tcPr>
            <w:tcW w:type="pct" w:w="20%"/>
          </w:tcPr>
          <w:p>
            <w:r>
              <w:rPr>
                <w:sz w:val="20"/>
                <w:szCs w:val="20"/>
              </w:rPr>
            </w:r>
          </w:p>
        </w:tc>
        <w:tc>
          <w:tcPr>
            <w:tcW w:type="pct" w:w="20%"/>
          </w:tcPr>
          <w:p>
            <w:r>
              <w:rPr>
                <w:sz w:val="20"/>
                <w:szCs w:val="20"/>
              </w:rPr>
            </w:r>
          </w:p>
        </w:tc>
        <w:tc>
          <w:tcPr>
            <w:tcW w:type="pct" w:w="20%"/>
          </w:tcPr>
          <w:p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W w:type="pct" w:w="20%"/>
          </w:tcPr>
          <w:p>
            <w:r>
              <w:rPr>
                <w:sz w:val="20"/>
                <w:szCs w:val="20"/>
              </w:rPr>
            </w:r>
          </w:p>
        </w:tc>
        <w:tc>
          <w:tcPr>
            <w:tcW w:type="pct" w:w="20%"/>
          </w:tcPr>
          <w:p>
            <w:r>
              <w:rPr>
                <w:sz w:val="20"/>
                <w:szCs w:val="20"/>
              </w:rPr>
            </w:r>
          </w:p>
        </w:tc>
      </w:tr>
      <w:tr>
        <w:trPr>
          <w:tblHeader w:val="false"/>
        </w:trPr>
        <w:tc>
          <w:tcPr>
            <w:tcW w:type="pct" w:w="20%"/>
          </w:tcPr>
          <w:p>
            <w:r>
              <w:rPr>
                <w:sz w:val="20"/>
                <w:szCs w:val="20"/>
              </w:rPr>
            </w:r>
          </w:p>
        </w:tc>
        <w:tc>
          <w:tcPr>
            <w:tcW w:type="pct" w:w="20%"/>
          </w:tcPr>
          <w:p>
            <w:r>
              <w:rPr>
                <w:sz w:val="20"/>
                <w:szCs w:val="20"/>
              </w:rPr>
            </w:r>
          </w:p>
        </w:tc>
        <w:tc>
          <w:tcPr>
            <w:tcW w:type="pct" w:w="20%"/>
          </w:tcPr>
          <w:p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W w:type="pct" w:w="20%"/>
          </w:tcPr>
          <w:p>
            <w:r>
              <w:rPr>
                <w:sz w:val="20"/>
                <w:szCs w:val="20"/>
              </w:rPr>
            </w:r>
          </w:p>
        </w:tc>
        <w:tc>
          <w:tcPr>
            <w:tcW w:type="pct" w:w="20%"/>
          </w:tcPr>
          <w:p>
            <w:r>
              <w:rPr>
                <w:sz w:val="20"/>
                <w:szCs w:val="20"/>
              </w:rPr>
            </w:r>
          </w:p>
        </w:tc>
      </w:tr>
      <w:tr>
        <w:trPr>
          <w:tblHeader w:val="false"/>
        </w:trPr>
        <w:tc>
          <w:tcPr>
            <w:tcW w:type="pct" w:w="20%"/>
          </w:tcPr>
          <w:p>
            <w:r>
              <w:rPr>
                <w:sz w:val="20"/>
                <w:szCs w:val="20"/>
              </w:rPr>
            </w:r>
          </w:p>
        </w:tc>
        <w:tc>
          <w:tcPr>
            <w:tcW w:type="pct" w:w="20%"/>
          </w:tcPr>
          <w:p>
            <w:r>
              <w:rPr>
                <w:sz w:val="20"/>
                <w:szCs w:val="20"/>
              </w:rPr>
            </w:r>
          </w:p>
        </w:tc>
        <w:tc>
          <w:tcPr>
            <w:tcW w:type="pct" w:w="20%"/>
          </w:tcPr>
          <w:p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W w:type="pct" w:w="20%"/>
          </w:tcPr>
          <w:p>
            <w:r>
              <w:rPr>
                <w:sz w:val="20"/>
                <w:szCs w:val="20"/>
              </w:rPr>
            </w:r>
          </w:p>
        </w:tc>
        <w:tc>
          <w:tcPr>
            <w:tcW w:type="pct" w:w="20%"/>
          </w:tcPr>
          <w:p>
            <w:r>
              <w:rPr>
                <w:sz w:val="20"/>
                <w:szCs w:val="20"/>
              </w:rPr>
            </w:r>
          </w:p>
        </w:tc>
      </w:tr>
      <w:tr>
        <w:trPr>
          <w:tblHeader w:val="false"/>
        </w:trPr>
        <w:tc>
          <w:tcPr>
            <w:tcW w:type="pct" w:w="20%"/>
          </w:tcPr>
          <w:p>
            <w:r>
              <w:rPr>
                <w:sz w:val="20"/>
                <w:szCs w:val="20"/>
              </w:rPr>
            </w:r>
          </w:p>
        </w:tc>
        <w:tc>
          <w:tcPr>
            <w:tcW w:type="pct" w:w="20%"/>
          </w:tcPr>
          <w:p>
            <w:r>
              <w:rPr>
                <w:sz w:val="20"/>
                <w:szCs w:val="20"/>
              </w:rPr>
            </w:r>
          </w:p>
        </w:tc>
        <w:tc>
          <w:tcPr>
            <w:tcW w:type="pct" w:w="20%"/>
          </w:tcPr>
          <w:p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W w:type="pct" w:w="20%"/>
          </w:tcPr>
          <w:p>
            <w:r>
              <w:rPr>
                <w:sz w:val="20"/>
                <w:szCs w:val="20"/>
              </w:rPr>
            </w:r>
          </w:p>
        </w:tc>
        <w:tc>
          <w:tcPr>
            <w:tcW w:type="pct" w:w="20%"/>
          </w:tcPr>
          <w:p>
            <w:r>
              <w:rPr>
                <w:sz w:val="20"/>
                <w:szCs w:val="20"/>
              </w:rPr>
            </w:r>
          </w:p>
        </w:tc>
      </w:tr>
      <w:tr>
        <w:trPr>
          <w:tblHeader w:val="false"/>
        </w:trPr>
        <w:tc>
          <w:tcPr>
            <w:tcW w:type="pct" w:w="20%"/>
          </w:tcPr>
          <w:p>
            <w:r>
              <w:rPr>
                <w:sz w:val="20"/>
                <w:szCs w:val="20"/>
              </w:rPr>
            </w:r>
          </w:p>
        </w:tc>
        <w:tc>
          <w:tcPr>
            <w:tcW w:type="pct" w:w="20%"/>
          </w:tcPr>
          <w:p>
            <w:r>
              <w:rPr>
                <w:sz w:val="20"/>
                <w:szCs w:val="20"/>
              </w:rPr>
            </w:r>
          </w:p>
        </w:tc>
        <w:tc>
          <w:tcPr>
            <w:tcW w:type="pct" w:w="20%"/>
          </w:tcPr>
          <w:p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W w:type="pct" w:w="20%"/>
          </w:tcPr>
          <w:p>
            <w:r>
              <w:rPr>
                <w:sz w:val="20"/>
                <w:szCs w:val="20"/>
              </w:rPr>
            </w:r>
          </w:p>
        </w:tc>
        <w:tc>
          <w:tcPr>
            <w:tcW w:type="pct" w:w="20%"/>
          </w:tcPr>
          <w:p>
            <w:r>
              <w:rPr>
                <w:sz w:val="20"/>
                <w:szCs w:val="20"/>
              </w:rPr>
            </w:r>
          </w:p>
        </w:tc>
      </w:tr>
    </w:tbl>
    <w:p>
      <w:pPr>
        <w:spacing w:after="120"/>
      </w:pPr>
    </w:p>
    <w:p/>
    <w:p>
      <w:pPr>
        <w:spacing w:after="80"/>
      </w:pPr>
      <w:r>
        <w:rPr>
          <w:rFonts w:ascii="Calibri" w:cs="Calibri" w:eastAsia="Calibri" w:hAnsi="Calibri"/>
        </w:rPr>
        <w:t xml:space="preserve">No PII/PHI: PopHIVE data is public, aggregate, and de-identified per its own governance</w:t>
      </w:r>
    </w:p>
    <w:p>
      <w:pPr>
        <w:spacing w:after="80"/>
      </w:pPr>
      <w:r>
        <w:rPr>
          <w:rFonts w:ascii="Calibri" w:cs="Calibri" w:eastAsia="Calibri" w:hAnsi="Calibri"/>
        </w:rPr>
        <w:t xml:space="preserve">(see MCP server instructions).</w:t>
      </w:r>
    </w:p>
    <w:p/>
    <w:p>
      <w:pPr>
        <w:pStyle w:val="Heading1"/>
        <w:spacing w:after="120" w:before="240"/>
      </w:pPr>
      <w:r>
        <w:rPr>
          <w:rFonts w:ascii="Calibri" w:cs="Calibri" w:eastAsia="Calibri" w:hAnsi="Calibri"/>
        </w:rPr>
        <w:t xml:space="preserve">Configuration</w:t>
      </w:r>
    </w:p>
    <w:p/>
    <w:tbl>
      <w:tblPr>
        <w:tblW w:type="pct" w:w="100%"/>
        <w:tblBorders>
          <w:top w:val="single" w:color="CCCCCC" w:sz="2"/>
          <w:left w:val="single" w:color="CCCCCC" w:sz="2"/>
          <w:bottom w:val="single" w:color="CCCCCC" w:sz="2"/>
          <w:right w:val="single" w:color="CCCCCC" w:sz="2"/>
          <w:insideH w:val="single" w:color="CCCCCC" w:sz="2"/>
          <w:insideV w:val="single" w:color="CCCCCC" w:sz="2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0%"/>
            <w:shd w:fill="E7ECF3"/>
          </w:tcPr>
          <w:p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W w:type="pct" w:w="20%"/>
            <w:shd w:fill="E7ECF3"/>
          </w:tcPr>
          <w:p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W w:type="pct" w:w="20%"/>
            <w:shd w:fill="E7ECF3"/>
          </w:tcPr>
          <w:p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W w:type="pct" w:w="20%"/>
            <w:shd w:fill="E7ECF3"/>
          </w:tcPr>
          <w:p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W w:type="pct" w:w="20%"/>
            <w:shd w:fill="E7ECF3"/>
          </w:tcPr>
          <w:p>
            <w:r>
              <w:rPr>
                <w:b/>
                <w:bCs/>
                <w:sz w:val="20"/>
                <w:szCs w:val="20"/>
              </w:rPr>
            </w:r>
          </w:p>
        </w:tc>
      </w:tr>
      <w:tr>
        <w:trPr>
          <w:tblHeader w:val="false"/>
        </w:trPr>
        <w:tc>
          <w:tcPr>
            <w:tcW w:type="pct" w:w="20%"/>
          </w:tcPr>
          <w:p>
            <w:r>
              <w:rPr>
                <w:sz w:val="20"/>
                <w:szCs w:val="20"/>
              </w:rPr>
            </w:r>
          </w:p>
        </w:tc>
        <w:tc>
          <w:tcPr>
            <w:tcW w:type="pct" w:w="20%"/>
          </w:tcPr>
          <w:p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W w:type="pct" w:w="20%"/>
          </w:tcPr>
          <w:p>
            <w:r>
              <w:rPr>
                <w:sz w:val="20"/>
                <w:szCs w:val="20"/>
              </w:rPr>
            </w:r>
          </w:p>
        </w:tc>
        <w:tc>
          <w:tcPr>
            <w:tcW w:type="pct" w:w="20%"/>
          </w:tcPr>
          <w:p>
            <w:r>
              <w:rPr>
                <w:sz w:val="20"/>
                <w:szCs w:val="20"/>
              </w:rPr>
            </w:r>
          </w:p>
        </w:tc>
        <w:tc>
          <w:tcPr>
            <w:tcW w:type="pct" w:w="20%"/>
          </w:tcPr>
          <w:p>
            <w:r>
              <w:rPr>
                <w:sz w:val="20"/>
                <w:szCs w:val="20"/>
              </w:rPr>
            </w:r>
          </w:p>
        </w:tc>
      </w:tr>
      <w:tr>
        <w:trPr>
          <w:tblHeader w:val="false"/>
        </w:trPr>
        <w:tc>
          <w:tcPr>
            <w:tcW w:type="pct" w:w="20%"/>
          </w:tcPr>
          <w:p>
            <w:r>
              <w:rPr>
                <w:sz w:val="20"/>
                <w:szCs w:val="20"/>
              </w:rPr>
            </w:r>
          </w:p>
        </w:tc>
        <w:tc>
          <w:tcPr>
            <w:tcW w:type="pct" w:w="20%"/>
          </w:tcPr>
          <w:p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W w:type="pct" w:w="20%"/>
          </w:tcPr>
          <w:p>
            <w:r>
              <w:rPr>
                <w:sz w:val="20"/>
                <w:szCs w:val="20"/>
              </w:rPr>
            </w:r>
          </w:p>
        </w:tc>
        <w:tc>
          <w:tcPr>
            <w:tcW w:type="pct" w:w="20%"/>
          </w:tcPr>
          <w:p>
            <w:r>
              <w:rPr>
                <w:sz w:val="20"/>
                <w:szCs w:val="20"/>
              </w:rPr>
            </w:r>
          </w:p>
        </w:tc>
        <w:tc>
          <w:tcPr>
            <w:tcW w:type="pct" w:w="20%"/>
          </w:tcPr>
          <w:p>
            <w:r>
              <w:rPr>
                <w:sz w:val="20"/>
                <w:szCs w:val="20"/>
              </w:rPr>
            </w:r>
          </w:p>
        </w:tc>
      </w:tr>
      <w:tr>
        <w:trPr>
          <w:tblHeader w:val="false"/>
        </w:trPr>
        <w:tc>
          <w:tcPr>
            <w:tcW w:type="pct" w:w="20%"/>
          </w:tcPr>
          <w:p>
            <w:r>
              <w:rPr>
                <w:sz w:val="20"/>
                <w:szCs w:val="20"/>
              </w:rPr>
            </w:r>
          </w:p>
        </w:tc>
        <w:tc>
          <w:tcPr>
            <w:tcW w:type="pct" w:w="20%"/>
          </w:tcPr>
          <w:p>
            <w:r>
              <w:rPr>
                <w:sz w:val="20"/>
                <w:szCs w:val="20"/>
              </w:rPr>
            </w:r>
          </w:p>
        </w:tc>
        <w:tc>
          <w:tcPr>
            <w:tcW w:type="pct" w:w="20%"/>
          </w:tcPr>
          <w:p>
            <w:r>
              <w:rPr>
                <w:sz w:val="20"/>
                <w:szCs w:val="20"/>
              </w:rPr>
            </w:r>
          </w:p>
        </w:tc>
        <w:tc>
          <w:tcPr>
            <w:tcW w:type="pct" w:w="20%"/>
          </w:tcPr>
          <w:p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W w:type="pct" w:w="20%"/>
          </w:tcPr>
          <w:p>
            <w:r>
              <w:rPr>
                <w:sz w:val="20"/>
                <w:szCs w:val="20"/>
              </w:rPr>
            </w:r>
          </w:p>
        </w:tc>
      </w:tr>
    </w:tbl>
    <w:p>
      <w:pPr>
        <w:spacing w:after="120"/>
      </w:pPr>
    </w:p>
    <w:p/>
    <w:p>
      <w:pPr>
        <w:spacing w:after="80"/>
      </w:pPr>
      <w:r>
        <w:rPr>
          <w:rFonts w:ascii="Calibri" w:cs="Calibri" w:eastAsia="Calibri" w:hAnsi="Calibri"/>
        </w:rPr>
        <w:t xml:space="preserve">Never record actual secret values.</w:t>
      </w:r>
    </w:p>
    <w:p/>
    <w:p>
      <w:pPr>
        <w:pStyle w:val="Heading1"/>
        <w:spacing w:after="120" w:before="240"/>
      </w:pPr>
      <w:r>
        <w:rPr>
          <w:rFonts w:ascii="Calibri" w:cs="Calibri" w:eastAsia="Calibri" w:hAnsi="Calibri"/>
        </w:rPr>
        <w:t xml:space="preserve">Dependencies</w:t>
      </w:r>
    </w:p>
    <w:p/>
    <w:tbl>
      <w:tblPr>
        <w:tblW w:type="pct" w:w="100%"/>
        <w:tblBorders>
          <w:top w:val="single" w:color="CCCCCC" w:sz="2"/>
          <w:left w:val="single" w:color="CCCCCC" w:sz="2"/>
          <w:bottom w:val="single" w:color="CCCCCC" w:sz="2"/>
          <w:right w:val="single" w:color="CCCCCC" w:sz="2"/>
          <w:insideH w:val="single" w:color="CCCCCC" w:sz="2"/>
          <w:insideV w:val="single" w:color="CCCCCC" w:sz="2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5%"/>
            <w:shd w:fill="E7ECF3"/>
          </w:tcPr>
          <w:p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W w:type="pct" w:w="25%"/>
            <w:shd w:fill="E7ECF3"/>
          </w:tcPr>
          <w:p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W w:type="pct" w:w="25%"/>
            <w:shd w:fill="E7ECF3"/>
          </w:tcPr>
          <w:p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W w:type="pct" w:w="25%"/>
            <w:shd w:fill="E7ECF3"/>
          </w:tcPr>
          <w:p>
            <w:r>
              <w:rPr>
                <w:b/>
                <w:bCs/>
                <w:sz w:val="20"/>
                <w:szCs w:val="20"/>
              </w:rPr>
            </w:r>
          </w:p>
        </w:tc>
      </w:tr>
      <w:tr>
        <w:trPr>
          <w:tblHeader w:val="false"/>
        </w:trPr>
        <w:tc>
          <w:tcPr>
            <w:tcW w:type="pct" w:w="25%"/>
          </w:tcPr>
          <w:p>
            <w:r>
              <w:rPr>
                <w:sz w:val="20"/>
                <w:szCs w:val="20"/>
              </w:rPr>
            </w:r>
          </w:p>
        </w:tc>
        <w:tc>
          <w:tcPr>
            <w:tcW w:type="pct" w:w="25%"/>
          </w:tcPr>
          <w:p>
            <w:r>
              <w:rPr>
                <w:sz w:val="20"/>
                <w:szCs w:val="20"/>
              </w:rPr>
            </w:r>
          </w:p>
        </w:tc>
        <w:tc>
          <w:tcPr>
            <w:tcW w:type="pct" w:w="25%"/>
          </w:tcPr>
          <w:p>
            <w:r>
              <w:rPr>
                <w:sz w:val="20"/>
                <w:szCs w:val="20"/>
              </w:rPr>
            </w:r>
          </w:p>
        </w:tc>
        <w:tc>
          <w:tcPr>
            <w:tcW w:type="pct" w:w="25%"/>
          </w:tcPr>
          <w:p>
            <w:r>
              <w:rPr>
                <w:sz w:val="20"/>
                <w:szCs w:val="20"/>
              </w:rPr>
            </w:r>
          </w:p>
        </w:tc>
      </w:tr>
      <w:tr>
        <w:trPr>
          <w:tblHeader w:val="false"/>
        </w:trPr>
        <w:tc>
          <w:tcPr>
            <w:tcW w:type="pct" w:w="25%"/>
          </w:tcPr>
          <w:p>
            <w:r>
              <w:rPr>
                <w:sz w:val="20"/>
                <w:szCs w:val="20"/>
              </w:rPr>
            </w:r>
          </w:p>
        </w:tc>
        <w:tc>
          <w:tcPr>
            <w:tcW w:type="pct" w:w="25%"/>
          </w:tcPr>
          <w:p>
            <w:r>
              <w:rPr>
                <w:sz w:val="20"/>
                <w:szCs w:val="20"/>
              </w:rPr>
            </w:r>
          </w:p>
        </w:tc>
        <w:tc>
          <w:tcPr>
            <w:tcW w:type="pct" w:w="25%"/>
          </w:tcPr>
          <w:p>
            <w:r>
              <w:rPr>
                <w:sz w:val="20"/>
                <w:szCs w:val="20"/>
              </w:rPr>
            </w:r>
          </w:p>
        </w:tc>
        <w:tc>
          <w:tcPr>
            <w:tcW w:type="pct" w:w="25%"/>
          </w:tcPr>
          <w:p>
            <w:r>
              <w:rPr>
                <w:sz w:val="20"/>
                <w:szCs w:val="20"/>
              </w:rPr>
            </w:r>
          </w:p>
        </w:tc>
      </w:tr>
      <w:tr>
        <w:trPr>
          <w:tblHeader w:val="false"/>
        </w:trPr>
        <w:tc>
          <w:tcPr>
            <w:tcW w:type="pct" w:w="25%"/>
          </w:tcPr>
          <w:p>
            <w:r>
              <w:rPr>
                <w:sz w:val="20"/>
                <w:szCs w:val="20"/>
              </w:rPr>
            </w:r>
          </w:p>
        </w:tc>
        <w:tc>
          <w:tcPr>
            <w:tcW w:type="pct" w:w="25%"/>
          </w:tcPr>
          <w:p>
            <w:r>
              <w:rPr>
                <w:sz w:val="20"/>
                <w:szCs w:val="20"/>
              </w:rPr>
            </w:r>
          </w:p>
        </w:tc>
        <w:tc>
          <w:tcPr>
            <w:tcW w:type="pct" w:w="25%"/>
          </w:tcPr>
          <w:p>
            <w:r>
              <w:rPr>
                <w:sz w:val="20"/>
                <w:szCs w:val="20"/>
              </w:rPr>
            </w:r>
          </w:p>
        </w:tc>
        <w:tc>
          <w:tcPr>
            <w:tcW w:type="pct" w:w="25%"/>
          </w:tcPr>
          <w:p>
            <w:r>
              <w:rPr>
                <w:sz w:val="20"/>
                <w:szCs w:val="20"/>
              </w:rPr>
            </w:r>
          </w:p>
        </w:tc>
      </w:tr>
      <w:tr>
        <w:trPr>
          <w:tblHeader w:val="false"/>
        </w:trPr>
        <w:tc>
          <w:tcPr>
            <w:tcW w:type="pct" w:w="25%"/>
          </w:tcPr>
          <w:p>
            <w:r>
              <w:rPr>
                <w:sz w:val="20"/>
                <w:szCs w:val="20"/>
              </w:rPr>
            </w:r>
          </w:p>
        </w:tc>
        <w:tc>
          <w:tcPr>
            <w:tcW w:type="pct" w:w="25%"/>
          </w:tcPr>
          <w:p>
            <w:r>
              <w:rPr>
                <w:sz w:val="20"/>
                <w:szCs w:val="20"/>
              </w:rPr>
            </w:r>
          </w:p>
        </w:tc>
        <w:tc>
          <w:tcPr>
            <w:tcW w:type="pct" w:w="25%"/>
          </w:tcPr>
          <w:p>
            <w:r>
              <w:rPr>
                <w:sz w:val="20"/>
                <w:szCs w:val="20"/>
              </w:rPr>
            </w:r>
          </w:p>
        </w:tc>
        <w:tc>
          <w:tcPr>
            <w:tcW w:type="pct" w:w="25%"/>
          </w:tcPr>
          <w:p>
            <w:r>
              <w:rPr>
                <w:sz w:val="20"/>
                <w:szCs w:val="20"/>
              </w:rPr>
            </w:r>
          </w:p>
        </w:tc>
      </w:tr>
    </w:tbl>
    <w:p>
      <w:pPr>
        <w:spacing w:after="120"/>
      </w:pPr>
    </w:p>
    <w:p/>
    <w:p>
      <w:pPr>
        <w:pStyle w:val="Heading1"/>
        <w:spacing w:after="120" w:before="240"/>
      </w:pPr>
      <w:r>
        <w:rPr>
          <w:rFonts w:ascii="Calibri" w:cs="Calibri" w:eastAsia="Calibri" w:hAnsi="Calibri"/>
        </w:rPr>
        <w:t xml:space="preserve">Security and privacy</w:t>
      </w:r>
    </w:p>
    <w:p/>
    <w:p>
      <w:pPr>
        <w:pStyle w:val="ListParagraph"/>
        <w:numPr>
          <w:ilvl w:val="0"/>
          <w:numId w:val="1"/>
        </w:numPr>
      </w:pPr>
      <w:r>
        <w:rPr>
          <w:rFonts w:ascii="Calibri" w:cs="Calibri" w:eastAsia="Calibri" w:hAnsi="Calibri"/>
        </w:rPr>
        <w:t xml:space="preserve">Trust boundaries: Build-time fetches from two public, unauthenticated sources (PopHIVE parquet, optionally NYC DOHMH open data). No user-submitted data, no auth layer (personal, unlisted deployment).</w:t>
      </w:r>
    </w:p>
    <w:p>
      <w:pPr>
        <w:pStyle w:val="ListParagraph"/>
        <w:numPr>
          <w:ilvl w:val="0"/>
          <w:numId w:val="1"/>
        </w:numPr>
      </w:pPr>
      <w:r>
        <w:rPr>
          <w:rFonts w:ascii="Calibri" w:cs="Calibri" w:eastAsia="Calibri" w:hAnsi="Calibri"/>
        </w:rPr>
        <w:t xml:space="preserve">Authentication and authorization: None — single user, unlisted URL.</w:t>
      </w:r>
    </w:p>
    <w:p>
      <w:pPr>
        <w:pStyle w:val="ListParagraph"/>
        <w:numPr>
          <w:ilvl w:val="0"/>
          <w:numId w:val="1"/>
        </w:numPr>
      </w:pPr>
      <w:r>
        <w:rPr>
          <w:rFonts w:ascii="Calibri" w:cs="Calibri" w:eastAsia="Calibri" w:hAnsi="Calibri"/>
        </w:rPr>
        <w:t xml:space="preserve">Sensitive data handling: None — all source data is public/aggregate/de-identified.</w:t>
      </w:r>
    </w:p>
    <w:p>
      <w:pPr>
        <w:pStyle w:val="ListParagraph"/>
        <w:numPr>
          <w:ilvl w:val="0"/>
          <w:numId w:val="1"/>
        </w:numPr>
      </w:pPr>
      <w:r>
        <w:rPr>
          <w:rFonts w:ascii="Calibri" w:cs="Calibri" w:eastAsia="Calibri" w:hAnsi="Calibri"/>
        </w:rPr>
        <w:t xml:space="preserve">Validation and sanitization: Data-quality rules (suppression, FIPS exclusion, cadence separation) are the primary "validation" concern here, applied for correctness rather than security.</w:t>
      </w:r>
    </w:p>
    <w:p>
      <w:pPr>
        <w:pStyle w:val="ListParagraph"/>
        <w:numPr>
          <w:ilvl w:val="0"/>
          <w:numId w:val="1"/>
        </w:numPr>
      </w:pPr>
      <w:r>
        <w:rPr>
          <w:rFonts w:ascii="Calibri" w:cs="Calibri" w:eastAsia="Calibri" w:hAnsi="Calibri"/>
        </w:rPr>
        <w:t xml:space="preserve">Logging and audit: Not required for a personal single-user static site.</w:t>
      </w:r>
    </w:p>
    <w:p>
      <w:pPr>
        <w:pStyle w:val="ListParagraph"/>
        <w:numPr>
          <w:ilvl w:val="0"/>
          <w:numId w:val="1"/>
        </w:numPr>
      </w:pPr>
      <w:r>
        <w:rPr>
          <w:rFonts w:ascii="Calibri" w:cs="Calibri" w:eastAsia="Calibri" w:hAnsi="Calibri"/>
        </w:rPr>
        <w:t xml:space="preserve">Known risks: A failed or partial build could ship stale data; mitigated by failing the build loudly (see APIs and integrations) and always showing real </w:t>
      </w:r>
      <w:r>
        <w:rPr>
          <w:rFonts w:ascii="Consolas" w:cs="Consolas" w:eastAsia="Consolas" w:hAnsi="Consolas"/>
          <w:sz w:val="20"/>
          <w:szCs w:val="20"/>
          <w:shd w:fill="F2F2F2"/>
        </w:rPr>
        <w:t xml:space="preserve">as_of</w:t>
      </w:r>
      <w:r>
        <w:rPr>
          <w:rFonts w:ascii="Calibri" w:cs="Calibri" w:eastAsia="Calibri" w:hAnsi="Calibri"/>
        </w:rPr>
        <w:t xml:space="preserve"> dates.</w:t>
      </w:r>
    </w:p>
    <w:p/>
    <w:p>
      <w:pPr>
        <w:pStyle w:val="Heading1"/>
        <w:spacing w:after="120" w:before="240"/>
      </w:pPr>
      <w:r>
        <w:rPr>
          <w:rFonts w:ascii="Calibri" w:cs="Calibri" w:eastAsia="Calibri" w:hAnsi="Calibri"/>
        </w:rPr>
        <w:t xml:space="preserve">Error handling and observability</w:t>
      </w:r>
    </w:p>
    <w:p/>
    <w:p>
      <w:pPr>
        <w:pStyle w:val="ListParagraph"/>
        <w:numPr>
          <w:ilvl w:val="0"/>
          <w:numId w:val="1"/>
        </w:numPr>
      </w:pPr>
      <w:r>
        <w:rPr>
          <w:rFonts w:ascii="Calibri" w:cs="Calibri" w:eastAsia="Calibri" w:hAnsi="Calibri"/>
        </w:rPr>
        <w:t xml:space="preserve">Error strategy: Build-time failures (fetch/parse errors, missing expected columns) fail the build rather than shipping partial data.</w:t>
      </w:r>
    </w:p>
    <w:p>
      <w:pPr>
        <w:pStyle w:val="ListParagraph"/>
        <w:numPr>
          <w:ilvl w:val="0"/>
          <w:numId w:val="1"/>
        </w:numPr>
      </w:pPr>
      <w:r>
        <w:rPr>
          <w:rFonts w:ascii="Calibri" w:cs="Calibri" w:eastAsia="Calibri" w:hAnsi="Calibri"/>
        </w:rPr>
        <w:t xml:space="preserve">Logging: Standard Vercel build logs.</w:t>
      </w:r>
    </w:p>
    <w:p>
      <w:pPr>
        <w:pStyle w:val="ListParagraph"/>
        <w:numPr>
          <w:ilvl w:val="0"/>
          <w:numId w:val="1"/>
        </w:numPr>
      </w:pPr>
      <w:r>
        <w:rPr>
          <w:rFonts w:ascii="Calibri" w:cs="Calibri" w:eastAsia="Calibri" w:hAnsi="Calibri"/>
        </w:rPr>
        <w:t xml:space="preserve">Metrics: None planned for v1 (personal project, no dashboard-of-the-dashboard).</w:t>
      </w:r>
    </w:p>
    <w:p>
      <w:pPr>
        <w:pStyle w:val="ListParagraph"/>
        <w:numPr>
          <w:ilvl w:val="0"/>
          <w:numId w:val="1"/>
        </w:numPr>
      </w:pPr>
      <w:r>
        <w:rPr>
          <w:rFonts w:ascii="Calibri" w:cs="Calibri" w:eastAsia="Calibri" w:hAnsi="Calibri"/>
        </w:rPr>
        <w:t xml:space="preserve">Alerts: None planned for v1; staleness is self-evident via the </w:t>
      </w:r>
      <w:r>
        <w:rPr>
          <w:rFonts w:ascii="Consolas" w:cs="Consolas" w:eastAsia="Consolas" w:hAnsi="Consolas"/>
          <w:sz w:val="20"/>
          <w:szCs w:val="20"/>
          <w:shd w:fill="F2F2F2"/>
        </w:rPr>
        <w:t xml:space="preserve">as_of</w:t>
      </w:r>
      <w:r>
        <w:rPr>
          <w:rFonts w:ascii="Calibri" w:cs="Calibri" w:eastAsia="Calibri" w:hAnsi="Calibri"/>
        </w:rPr>
        <w:t xml:space="preserve"> date.</w:t>
      </w:r>
    </w:p>
    <w:p>
      <w:pPr>
        <w:pStyle w:val="ListParagraph"/>
        <w:numPr>
          <w:ilvl w:val="0"/>
          <w:numId w:val="1"/>
        </w:numPr>
      </w:pPr>
      <w:r>
        <w:rPr>
          <w:rFonts w:ascii="Calibri" w:cs="Calibri" w:eastAsia="Calibri" w:hAnsi="Calibri"/>
        </w:rPr>
        <w:t xml:space="preserve">Health checks: None planned for v1.</w:t>
      </w:r>
    </w:p>
    <w:p/>
    <w:p>
      <w:pPr>
        <w:pStyle w:val="Heading1"/>
        <w:spacing w:after="120" w:before="240"/>
      </w:pPr>
      <w:r>
        <w:rPr>
          <w:rFonts w:ascii="Calibri" w:cs="Calibri" w:eastAsia="Calibri" w:hAnsi="Calibri"/>
        </w:rPr>
        <w:t xml:space="preserve">Build, test, and deployment</w:t>
      </w:r>
    </w:p>
    <w:p/>
    <w:p>
      <w:pPr>
        <w:pStyle w:val="ListParagraph"/>
        <w:numPr>
          <w:ilvl w:val="0"/>
          <w:numId w:val="1"/>
        </w:numPr>
      </w:pPr>
      <w:r>
        <w:rPr>
          <w:rFonts w:ascii="Calibri" w:cs="Calibri" w:eastAsia="Calibri" w:hAnsi="Calibri"/>
        </w:rPr>
        <w:t xml:space="preserve">Local setup: </w:t>
      </w:r>
      <w:r>
        <w:rPr>
          <w:rFonts w:ascii="Consolas" w:cs="Consolas" w:eastAsia="Consolas" w:hAnsi="Consolas"/>
          <w:sz w:val="20"/>
          <w:szCs w:val="20"/>
          <w:shd w:fill="F2F2F2"/>
        </w:rPr>
        <w:t xml:space="preserve">cd web &amp;&amp; npm install</w:t>
      </w:r>
      <w:r>
        <w:rPr>
          <w:rFonts w:ascii="Calibri" w:cs="Calibri" w:eastAsia="Calibri" w:hAnsi="Calibri"/>
        </w:rPr>
        <w:t xml:space="preserve">, then </w:t>
      </w:r>
      <w:r>
        <w:rPr>
          <w:rFonts w:ascii="Consolas" w:cs="Consolas" w:eastAsia="Consolas" w:hAnsi="Consolas"/>
          <w:sz w:val="20"/>
          <w:szCs w:val="20"/>
          <w:shd w:fill="F2F2F2"/>
        </w:rPr>
        <w:t xml:space="preserve">npm run build:data</w:t>
      </w:r>
      <w:r>
        <w:rPr>
          <w:rFonts w:ascii="Calibri" w:cs="Calibri" w:eastAsia="Calibri" w:hAnsi="Calibri"/>
        </w:rPr>
        <w:t xml:space="preserve"> to generate JSON, then </w:t>
      </w:r>
      <w:r>
        <w:rPr>
          <w:rFonts w:ascii="Consolas" w:cs="Consolas" w:eastAsia="Consolas" w:hAnsi="Consolas"/>
          <w:sz w:val="20"/>
          <w:szCs w:val="20"/>
          <w:shd w:fill="F2F2F2"/>
        </w:rPr>
        <w:t xml:space="preserve">npm run dev</w:t>
      </w:r>
      <w:r>
        <w:rPr>
          <w:rFonts w:ascii="Calibri" w:cs="Calibri" w:eastAsia="Calibri" w:hAnsi="Calibri"/>
        </w:rPr>
        <w:t xml:space="preserve"> (Next.js/Turbopack dev server).</w:t>
      </w:r>
    </w:p>
    <w:p>
      <w:pPr>
        <w:pStyle w:val="ListParagraph"/>
        <w:numPr>
          <w:ilvl w:val="0"/>
          <w:numId w:val="1"/>
        </w:numPr>
      </w:pPr>
      <w:r>
        <w:rPr>
          <w:rFonts w:ascii="Calibri" w:cs="Calibri" w:eastAsia="Calibri" w:hAnsi="Calibri"/>
        </w:rPr>
        <w:t xml:space="preserve">Build: </w:t>
      </w:r>
      <w:r>
        <w:rPr>
          <w:rFonts w:ascii="Consolas" w:cs="Consolas" w:eastAsia="Consolas" w:hAnsi="Consolas"/>
          <w:sz w:val="20"/>
          <w:szCs w:val="20"/>
          <w:shd w:fill="F2F2F2"/>
        </w:rPr>
        <w:t xml:space="preserve">npm run build</w:t>
      </w:r>
      <w:r>
        <w:rPr>
          <w:rFonts w:ascii="Calibri" w:cs="Calibri" w:eastAsia="Calibri" w:hAnsi="Calibri"/>
        </w:rPr>
        <w:t xml:space="preserve"> runs </w:t>
      </w:r>
      <w:r>
        <w:rPr>
          <w:rFonts w:ascii="Consolas" w:cs="Consolas" w:eastAsia="Consolas" w:hAnsi="Consolas"/>
          <w:sz w:val="20"/>
          <w:szCs w:val="20"/>
          <w:shd w:fill="F2F2F2"/>
        </w:rPr>
        <w:t xml:space="preserve">prebuild</w:t>
      </w:r>
      <w:r>
        <w:rPr>
          <w:rFonts w:ascii="Calibri" w:cs="Calibri" w:eastAsia="Calibri" w:hAnsi="Calibri"/>
        </w:rPr>
        <w:t xml:space="preserve"> (= </w:t>
      </w:r>
      <w:r>
        <w:rPr>
          <w:rFonts w:ascii="Consolas" w:cs="Consolas" w:eastAsia="Consolas" w:hAnsi="Consolas"/>
          <w:sz w:val="20"/>
          <w:szCs w:val="20"/>
          <w:shd w:fill="F2F2F2"/>
        </w:rPr>
        <w:t xml:space="preserve">build:data</w:t>
      </w:r>
      <w:r>
        <w:rPr>
          <w:rFonts w:ascii="Calibri" w:cs="Calibri" w:eastAsia="Calibri" w:hAnsi="Calibri"/>
        </w:rPr>
        <w:t xml:space="preserve">) automatically, then </w:t>
      </w:r>
      <w:r>
        <w:rPr>
          <w:rFonts w:ascii="Consolas" w:cs="Consolas" w:eastAsia="Consolas" w:hAnsi="Consolas"/>
          <w:sz w:val="20"/>
          <w:szCs w:val="20"/>
          <w:shd w:fill="F2F2F2"/>
        </w:rPr>
        <w:t xml:space="preserve">next build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1"/>
        </w:numPr>
      </w:pPr>
      <w:r>
        <w:rPr>
          <w:rFonts w:ascii="Calibri" w:cs="Calibri" w:eastAsia="Calibri" w:hAnsi="Calibri"/>
        </w:rPr>
        <w:t xml:space="preserve">Automated tests: None yet — see </w:t>
      </w:r>
      <w:r>
        <w:rPr>
          <w:rFonts w:ascii="Consolas" w:cs="Consolas" w:eastAsia="Consolas" w:hAnsi="Consolas"/>
          <w:sz w:val="20"/>
          <w:szCs w:val="20"/>
          <w:shd w:fill="F2F2F2"/>
        </w:rPr>
        <w:t xml:space="preserve">05-tests.md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1"/>
        </w:numPr>
      </w:pPr>
      <w:r>
        <w:rPr>
          <w:rFonts w:ascii="Calibri" w:cs="Calibri" w:eastAsia="Calibri" w:hAnsi="Calibri"/>
        </w:rPr>
        <w:t xml:space="preserve">Manual verification: Pipeline console output cross-checked against PopHIVE's own </w:t>
      </w:r>
      <w:r>
        <w:rPr>
          <w:rFonts w:ascii="Consolas" w:cs="Consolas" w:eastAsia="Consolas" w:hAnsi="Consolas"/>
          <w:sz w:val="20"/>
          <w:szCs w:val="20"/>
          <w:shd w:fill="F2F2F2"/>
        </w:rPr>
        <w:t xml:space="preserve">get_current_status</w:t>
      </w:r>
      <w:r>
        <w:rPr>
          <w:rFonts w:ascii="Calibri" w:cs="Calibri" w:eastAsia="Calibri" w:hAnsi="Calibri"/>
        </w:rPr>
        <w:t xml:space="preserve"> calls and the brief's section 7 reference figures (exact matches confirmed for flu/RSV/COVID national status and HealthMap MMR coverage); full interactive browser verification completed 2026-07-26 (Chrome, desktop + 420px viewport) — see </w:t>
      </w:r>
      <w:r>
        <w:rPr>
          <w:rFonts w:ascii="Consolas" w:cs="Consolas" w:eastAsia="Consolas" w:hAnsi="Consolas"/>
          <w:sz w:val="20"/>
          <w:szCs w:val="20"/>
          <w:shd w:fill="F2F2F2"/>
        </w:rPr>
        <w:t xml:space="preserve">08-project-plan.md</w:t>
      </w:r>
      <w:r>
        <w:rPr>
          <w:rFonts w:ascii="Calibri" w:cs="Calibri" w:eastAsia="Calibri" w:hAnsi="Calibri"/>
        </w:rPr>
        <w:t xml:space="preserve"> milestone completion notes for what was checked.</w:t>
      </w:r>
    </w:p>
    <w:p>
      <w:pPr>
        <w:pStyle w:val="ListParagraph"/>
        <w:numPr>
          <w:ilvl w:val="0"/>
          <w:numId w:val="1"/>
        </w:numPr>
      </w:pPr>
      <w:r>
        <w:rPr>
          <w:rFonts w:ascii="Calibri" w:cs="Calibri" w:eastAsia="Calibri" w:hAnsi="Calibri"/>
        </w:rPr>
        <w:t xml:space="preserve">Deployment: Live on Vercel (project </w:t>
      </w:r>
      <w:r>
        <w:rPr>
          <w:rFonts w:ascii="Consolas" w:cs="Consolas" w:eastAsia="Consolas" w:hAnsi="Consolas"/>
          <w:sz w:val="20"/>
          <w:szCs w:val="20"/>
          <w:shd w:fill="F2F2F2"/>
        </w:rPr>
        <w:t xml:space="preserve">surveillance-dashboard</w:t>
      </w:r>
      <w:r>
        <w:rPr>
          <w:rFonts w:ascii="Calibri" w:cs="Calibri" w:eastAsia="Calibri" w:hAnsi="Calibri"/>
        </w:rPr>
        <w:t xml:space="preserve">, scope </w:t>
      </w:r>
      <w:r>
        <w:rPr>
          <w:rFonts w:ascii="Consolas" w:cs="Consolas" w:eastAsia="Consolas" w:hAnsi="Consolas"/>
          <w:sz w:val="20"/>
          <w:szCs w:val="20"/>
          <w:shd w:fill="F2F2F2"/>
        </w:rPr>
        <w:t xml:space="preserve">ben-a</w:t>
      </w:r>
      <w:r>
        <w:rPr>
          <w:rFonts w:ascii="Calibri" w:cs="Calibri" w:eastAsia="Calibri" w:hAnsi="Calibri"/>
        </w:rPr>
        <w:t xml:space="preserve">) at https://web-six-sage-30.vercel.app, connected to the private GitHub repo </w:t>
      </w:r>
      <w:r>
        <w:rPr>
          <w:rFonts w:ascii="Consolas" w:cs="Consolas" w:eastAsia="Consolas" w:hAnsi="Consolas"/>
          <w:sz w:val="20"/>
          <w:szCs w:val="20"/>
          <w:shd w:fill="F2F2F2"/>
        </w:rPr>
        <w:t xml:space="preserve">akaheto/surveillance-dashboard</w:t>
      </w:r>
      <w:r>
        <w:rPr>
          <w:rFonts w:ascii="Calibri" w:cs="Calibri" w:eastAsia="Calibri" w:hAnsi="Calibri"/>
        </w:rPr>
        <w:t xml:space="preserve"> (Root Directory </w:t>
      </w:r>
      <w:r>
        <w:rPr>
          <w:rFonts w:ascii="Consolas" w:cs="Consolas" w:eastAsia="Consolas" w:hAnsi="Consolas"/>
          <w:sz w:val="20"/>
          <w:szCs w:val="20"/>
          <w:shd w:fill="F2F2F2"/>
        </w:rPr>
        <w:t xml:space="preserve">web</w:t>
      </w:r>
      <w:r>
        <w:rPr>
          <w:rFonts w:ascii="Calibri" w:cs="Calibri" w:eastAsia="Calibri" w:hAnsi="Calibri"/>
        </w:rPr>
        <w:t xml:space="preserve">) — every push to </w:t>
      </w:r>
      <w:r>
        <w:rPr>
          <w:rFonts w:ascii="Consolas" w:cs="Consolas" w:eastAsia="Consolas" w:hAnsi="Consolas"/>
          <w:sz w:val="20"/>
          <w:szCs w:val="20"/>
          <w:shd w:fill="F2F2F2"/>
        </w:rPr>
        <w:t xml:space="preserve">main</w:t>
      </w:r>
      <w:r>
        <w:rPr>
          <w:rFonts w:ascii="Calibri" w:cs="Calibri" w:eastAsia="Calibri" w:hAnsi="Calibri"/>
        </w:rPr>
        <w:t xml:space="preserve"> builds and deploys automatically. A daily Vercel Cron job (</w:t>
      </w:r>
      <w:r>
        <w:rPr>
          <w:rFonts w:ascii="Consolas" w:cs="Consolas" w:eastAsia="Consolas" w:hAnsi="Consolas"/>
          <w:sz w:val="20"/>
          <w:szCs w:val="20"/>
          <w:shd w:fill="F2F2F2"/>
        </w:rPr>
        <w:t xml:space="preserve">web/vercel.json</w:t>
      </w:r>
      <w:r>
        <w:rPr>
          <w:rFonts w:ascii="Calibri" w:cs="Calibri" w:eastAsia="Calibri" w:hAnsi="Calibri"/>
        </w:rPr>
        <w:t xml:space="preserve">) also triggers a rebuild independent of pushes, so the site refreshes even with no code changes.</w:t>
      </w:r>
    </w:p>
    <w:p>
      <w:pPr>
        <w:pStyle w:val="ListParagraph"/>
        <w:numPr>
          <w:ilvl w:val="0"/>
          <w:numId w:val="1"/>
        </w:numPr>
      </w:pPr>
      <w:r>
        <w:rPr>
          <w:rFonts w:ascii="Calibri" w:cs="Calibri" w:eastAsia="Calibri" w:hAnsi="Calibri"/>
        </w:rPr>
        <w:t xml:space="preserve">Rollback: Vercel's deployment history allows instant rollback to any prior build. Locally, git history serves the same purpose.</w:t>
      </w:r>
    </w:p>
    <w:p/>
    <w:p>
      <w:pPr>
        <w:pStyle w:val="Heading1"/>
        <w:spacing w:after="120" w:before="240"/>
      </w:pPr>
      <w:r>
        <w:rPr>
          <w:rFonts w:ascii="Calibri" w:cs="Calibri" w:eastAsia="Calibri" w:hAnsi="Calibri"/>
        </w:rPr>
        <w:t xml:space="preserve">Performance, reliability, and accessibility</w:t>
      </w:r>
    </w:p>
    <w:p/>
    <w:p>
      <w:pPr>
        <w:pStyle w:val="ListParagraph"/>
        <w:numPr>
          <w:ilvl w:val="0"/>
          <w:numId w:val="1"/>
        </w:numPr>
      </w:pPr>
      <w:r>
        <w:rPr>
          <w:rFonts w:ascii="Calibri" w:cs="Calibri" w:eastAsia="Calibri" w:hAnsi="Calibri"/>
        </w:rPr>
        <w:t xml:space="preserve">Expected load: Single user, low request volume — no scaling concerns.</w:t>
      </w:r>
    </w:p>
    <w:p>
      <w:pPr>
        <w:pStyle w:val="ListParagraph"/>
        <w:numPr>
          <w:ilvl w:val="0"/>
          <w:numId w:val="1"/>
        </w:numPr>
      </w:pPr>
      <w:r>
        <w:rPr>
          <w:rFonts w:ascii="Calibri" w:cs="Calibri" w:eastAsia="Calibri" w:hAnsi="Calibri"/>
        </w:rPr>
        <w:t xml:space="preserve">Performance requirements: None strict; static generation keeps page loads fast by default. Known cost: </w:t>
      </w:r>
      <w:r>
        <w:rPr>
          <w:rFonts w:ascii="Consolas" w:cs="Consolas" w:eastAsia="Consolas" w:hAnsi="Consolas"/>
          <w:sz w:val="20"/>
          <w:szCs w:val="20"/>
          <w:shd w:fill="F2F2F2"/>
        </w:rPr>
        <w:t xml:space="preserve">counties.json</w:t>
      </w:r>
      <w:r>
        <w:rPr>
          <w:rFonts w:ascii="Calibri" w:cs="Calibri" w:eastAsia="Calibri" w:hAnsi="Calibri"/>
        </w:rPr>
        <w:t xml:space="preserve"> is ~1.2MB (all 3 respiratory diseases' county data shipped to the client at once) — acceptable for a personal tool, tracked as E-007 (lazy-load per state) if it ever feels slow.</w:t>
      </w:r>
    </w:p>
    <w:p>
      <w:pPr>
        <w:pStyle w:val="ListParagraph"/>
        <w:numPr>
          <w:ilvl w:val="0"/>
          <w:numId w:val="1"/>
        </w:numPr>
      </w:pPr>
      <w:r>
        <w:rPr>
          <w:rFonts w:ascii="Calibri" w:cs="Calibri" w:eastAsia="Calibri" w:hAnsi="Calibri"/>
        </w:rPr>
        <w:t xml:space="preserve">Availability or recovery expectations: Personal project — best-effort; Vercel's platform reliability is sufficient once deployed.</w:t>
      </w:r>
    </w:p>
    <w:p>
      <w:pPr>
        <w:pStyle w:val="ListParagraph"/>
        <w:numPr>
          <w:ilvl w:val="0"/>
          <w:numId w:val="1"/>
        </w:numPr>
      </w:pPr>
      <w:r>
        <w:rPr>
          <w:rFonts w:ascii="Calibri" w:cs="Calibri" w:eastAsia="Calibri" w:hAnsi="Calibri"/>
        </w:rPr>
        <w:t xml:space="preserve">Accessibility requirements: Standard practice per the visual style guide (contrast, keyboard nav, focus visibility) — see </w:t>
      </w:r>
      <w:r>
        <w:rPr>
          <w:rFonts w:ascii="Consolas" w:cs="Consolas" w:eastAsia="Consolas" w:hAnsi="Consolas"/>
          <w:sz w:val="20"/>
          <w:szCs w:val="20"/>
          <w:shd w:fill="F2F2F2"/>
        </w:rPr>
        <w:t xml:space="preserve">12-visual-style-guide.md</w:t>
      </w:r>
      <w:r>
        <w:rPr>
          <w:rFonts w:ascii="Calibri" w:cs="Calibri" w:eastAsia="Calibri" w:hAnsi="Calibri"/>
        </w:rPr>
        <w:t xml:space="preserve">. Known gap: map state-click drill-down has no keyboard equivalent yet (E-010).</w:t>
      </w:r>
    </w:p>
    <w:p/>
    <w:p>
      <w:pPr>
        <w:pStyle w:val="Heading1"/>
        <w:spacing w:after="120" w:before="240"/>
      </w:pPr>
      <w:r>
        <w:rPr>
          <w:rFonts w:ascii="Calibri" w:cs="Calibri" w:eastAsia="Calibri" w:hAnsi="Calibri"/>
        </w:rPr>
        <w:t xml:space="preserve">Technical limitations and debt</w:t>
      </w:r>
    </w:p>
    <w:p/>
    <w:tbl>
      <w:tblPr>
        <w:tblW w:type="pct" w:w="100%"/>
        <w:tblBorders>
          <w:top w:val="single" w:color="CCCCCC" w:sz="2"/>
          <w:left w:val="single" w:color="CCCCCC" w:sz="2"/>
          <w:bottom w:val="single" w:color="CCCCCC" w:sz="2"/>
          <w:right w:val="single" w:color="CCCCCC" w:sz="2"/>
          <w:insideH w:val="single" w:color="CCCCCC" w:sz="2"/>
          <w:insideV w:val="single" w:color="CCCCCC" w:sz="2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5%"/>
            <w:shd w:fill="E7ECF3"/>
          </w:tcPr>
          <w:p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W w:type="pct" w:w="25%"/>
            <w:shd w:fill="E7ECF3"/>
          </w:tcPr>
          <w:p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W w:type="pct" w:w="25%"/>
            <w:shd w:fill="E7ECF3"/>
          </w:tcPr>
          <w:p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W w:type="pct" w:w="25%"/>
            <w:shd w:fill="E7ECF3"/>
          </w:tcPr>
          <w:p>
            <w:r>
              <w:rPr>
                <w:b/>
                <w:bCs/>
                <w:sz w:val="20"/>
                <w:szCs w:val="20"/>
              </w:rPr>
            </w:r>
          </w:p>
        </w:tc>
      </w:tr>
      <w:tr>
        <w:trPr>
          <w:tblHeader w:val="false"/>
        </w:trPr>
        <w:tc>
          <w:tcPr>
            <w:tcW w:type="pct" w:w="25%"/>
          </w:tcPr>
          <w:p>
            <w:r>
              <w:rPr>
                <w:sz w:val="20"/>
                <w:szCs w:val="20"/>
              </w:rPr>
            </w:r>
          </w:p>
        </w:tc>
        <w:tc>
          <w:tcPr>
            <w:tcW w:type="pct" w:w="25%"/>
          </w:tcPr>
          <w:p>
            <w:r>
              <w:rPr>
                <w:sz w:val="20"/>
                <w:szCs w:val="20"/>
              </w:rPr>
            </w:r>
          </w:p>
        </w:tc>
        <w:tc>
          <w:tcPr>
            <w:tcW w:type="pct" w:w="25%"/>
          </w:tcPr>
          <w:p>
            <w:r>
              <w:rPr>
                <w:sz w:val="20"/>
                <w:szCs w:val="20"/>
              </w:rPr>
            </w:r>
          </w:p>
        </w:tc>
        <w:tc>
          <w:tcPr>
            <w:tcW w:type="pct" w:w="25%"/>
          </w:tcPr>
          <w:p>
            <w:r>
              <w:rPr>
                <w:sz w:val="20"/>
                <w:szCs w:val="20"/>
              </w:rPr>
            </w:r>
          </w:p>
        </w:tc>
      </w:tr>
      <w:tr>
        <w:trPr>
          <w:tblHeader w:val="false"/>
        </w:trPr>
        <w:tc>
          <w:tcPr>
            <w:tcW w:type="pct" w:w="25%"/>
          </w:tcPr>
          <w:p>
            <w:r>
              <w:rPr>
                <w:sz w:val="20"/>
                <w:szCs w:val="20"/>
              </w:rPr>
            </w:r>
          </w:p>
        </w:tc>
        <w:tc>
          <w:tcPr>
            <w:tcW w:type="pct" w:w="25%"/>
          </w:tcPr>
          <w:p>
            <w:r>
              <w:rPr>
                <w:sz w:val="20"/>
                <w:szCs w:val="20"/>
              </w:rPr>
            </w:r>
          </w:p>
        </w:tc>
        <w:tc>
          <w:tcPr>
            <w:tcW w:type="pct" w:w="25%"/>
          </w:tcPr>
          <w:p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W w:type="pct" w:w="25%"/>
          </w:tcPr>
          <w:p>
            <w:r>
              <w:rPr>
                <w:sz w:val="20"/>
                <w:szCs w:val="20"/>
              </w:rPr>
            </w:r>
          </w:p>
        </w:tc>
      </w:tr>
      <w:tr>
        <w:trPr>
          <w:tblHeader w:val="false"/>
        </w:trPr>
        <w:tc>
          <w:tcPr>
            <w:tcW w:type="pct" w:w="25%"/>
          </w:tcPr>
          <w:p>
            <w:r>
              <w:rPr>
                <w:sz w:val="20"/>
                <w:szCs w:val="20"/>
              </w:rPr>
            </w:r>
          </w:p>
        </w:tc>
        <w:tc>
          <w:tcPr>
            <w:tcW w:type="pct" w:w="25%"/>
          </w:tcPr>
          <w:p>
            <w:r>
              <w:rPr>
                <w:sz w:val="20"/>
                <w:szCs w:val="20"/>
              </w:rPr>
            </w:r>
          </w:p>
        </w:tc>
        <w:tc>
          <w:tcPr>
            <w:tcW w:type="pct" w:w="25%"/>
          </w:tcPr>
          <w:p>
            <w:r>
              <w:rPr>
                <w:sz w:val="20"/>
                <w:szCs w:val="20"/>
              </w:rPr>
            </w:r>
          </w:p>
        </w:tc>
        <w:tc>
          <w:tcPr>
            <w:tcW w:type="pct" w:w="25%"/>
          </w:tcPr>
          <w:p>
            <w:r>
              <w:rPr>
                <w:sz w:val="20"/>
                <w:szCs w:val="20"/>
              </w:rPr>
            </w:r>
          </w:p>
        </w:tc>
      </w:tr>
      <w:tr>
        <w:trPr>
          <w:tblHeader w:val="false"/>
        </w:trPr>
        <w:tc>
          <w:tcPr>
            <w:tcW w:type="pct" w:w="25%"/>
          </w:tcPr>
          <w:p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W w:type="pct" w:w="25%"/>
          </w:tcPr>
          <w:p>
            <w:r>
              <w:rPr>
                <w:sz w:val="20"/>
                <w:szCs w:val="20"/>
              </w:rPr>
            </w:r>
          </w:p>
        </w:tc>
        <w:tc>
          <w:tcPr>
            <w:tcW w:type="pct" w:w="25%"/>
          </w:tcPr>
          <w:p>
            <w:r>
              <w:rPr>
                <w:sz w:val="20"/>
                <w:szCs w:val="20"/>
              </w:rPr>
            </w:r>
          </w:p>
        </w:tc>
        <w:tc>
          <w:tcPr>
            <w:tcW w:type="pct" w:w="25%"/>
          </w:tcPr>
          <w:p>
            <w:r>
              <w:rPr>
                <w:sz w:val="20"/>
                <w:szCs w:val="20"/>
              </w:rPr>
            </w:r>
          </w:p>
        </w:tc>
      </w:tr>
      <w:tr>
        <w:trPr>
          <w:tblHeader w:val="false"/>
        </w:trPr>
        <w:tc>
          <w:tcPr>
            <w:tcW w:type="pct" w:w="25%"/>
          </w:tcPr>
          <w:p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W w:type="pct" w:w="25%"/>
          </w:tcPr>
          <w:p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W w:type="pct" w:w="25%"/>
          </w:tcPr>
          <w:p>
            <w:r>
              <w:rPr>
                <w:sz w:val="20"/>
                <w:szCs w:val="20"/>
              </w:rPr>
            </w:r>
          </w:p>
        </w:tc>
        <w:tc>
          <w:tcPr>
            <w:tcW w:type="pct" w:w="25%"/>
          </w:tcPr>
          <w:p>
            <w:r>
              <w:rPr>
                <w:sz w:val="20"/>
                <w:szCs w:val="20"/>
              </w:rPr>
            </w:r>
          </w:p>
        </w:tc>
      </w:tr>
      <w:tr>
        <w:trPr>
          <w:tblHeader w:val="false"/>
        </w:trPr>
        <w:tc>
          <w:tcPr>
            <w:tcW w:type="pct" w:w="25%"/>
          </w:tcPr>
          <w:p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W w:type="pct" w:w="25%"/>
          </w:tcPr>
          <w:p>
            <w:r>
              <w:rPr>
                <w:sz w:val="20"/>
                <w:szCs w:val="20"/>
              </w:rPr>
            </w:r>
          </w:p>
        </w:tc>
        <w:tc>
          <w:tcPr>
            <w:tcW w:type="pct" w:w="25%"/>
          </w:tcPr>
          <w:p>
            <w:r>
              <w:rPr>
                <w:sz w:val="20"/>
                <w:szCs w:val="20"/>
              </w:rPr>
            </w:r>
          </w:p>
        </w:tc>
        <w:tc>
          <w:tcPr>
            <w:tcW w:type="pct" w:w="25%"/>
          </w:tcPr>
          <w:p>
            <w:r>
              <w:rPr>
                <w:sz w:val="20"/>
                <w:szCs w:val="20"/>
              </w:rPr>
            </w:r>
          </w:p>
        </w:tc>
      </w:tr>
      <w:tr>
        <w:trPr>
          <w:tblHeader w:val="false"/>
        </w:trPr>
        <w:tc>
          <w:tcPr>
            <w:tcW w:type="pct" w:w="25%"/>
          </w:tcPr>
          <w:p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W w:type="pct" w:w="25%"/>
          </w:tcPr>
          <w:p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W w:type="pct" w:w="25%"/>
          </w:tcPr>
          <w:p>
            <w:r>
              <w:rPr>
                <w:sz w:val="20"/>
                <w:szCs w:val="20"/>
              </w:rPr>
            </w:r>
          </w:p>
        </w:tc>
        <w:tc>
          <w:tcPr>
            <w:tcW w:type="pct" w:w="25%"/>
          </w:tcPr>
          <w:p>
            <w:r>
              <w:rPr>
                <w:sz w:val="20"/>
                <w:szCs w:val="20"/>
              </w:rPr>
            </w:r>
          </w:p>
        </w:tc>
      </w:tr>
      <w:tr>
        <w:trPr>
          <w:tblHeader w:val="false"/>
        </w:trPr>
        <w:tc>
          <w:tcPr>
            <w:tcW w:type="pct" w:w="25%"/>
          </w:tcPr>
          <w:p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W w:type="pct" w:w="25%"/>
          </w:tcPr>
          <w:p>
            <w:r>
              <w:rPr>
                <w:sz w:val="20"/>
                <w:szCs w:val="20"/>
              </w:rPr>
            </w:r>
          </w:p>
        </w:tc>
        <w:tc>
          <w:tcPr>
            <w:tcW w:type="pct" w:w="25%"/>
          </w:tcPr>
          <w:p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W w:type="pct" w:w="25%"/>
          </w:tcPr>
          <w:p>
            <w:r>
              <w:rPr>
                <w:sz w:val="20"/>
                <w:szCs w:val="20"/>
              </w:rPr>
            </w:r>
          </w:p>
        </w:tc>
      </w:tr>
    </w:tbl>
    <w:p>
      <w:pPr>
        <w:spacing w:after="120"/>
      </w:pPr>
    </w:p>
    <w:p/>
    <w:p>
      <w:pPr>
        <w:pStyle w:val="Heading2"/>
        <w:spacing w:after="120" w:before="240"/>
      </w:pPr>
      <w:r>
        <w:rPr>
          <w:rFonts w:ascii="Calibri" w:cs="Calibri" w:eastAsia="Calibri" w:hAnsi="Calibri"/>
        </w:rPr>
        <w:t xml:space="preserve">Confirmed real bundle files (M1 schema discovery, 2026-07-25)</w:t>
      </w:r>
    </w:p>
    <w:p/>
    <w:p>
      <w:pPr>
        <w:spacing w:after="80"/>
      </w:pPr>
      <w:r>
        <w:rPr>
          <w:rFonts w:ascii="Calibri" w:cs="Calibri" w:eastAsia="Calibri" w:hAnsi="Calibri"/>
        </w:rPr>
        <w:t xml:space="preserve">Verified via DuckDB </w:t>
      </w:r>
      <w:r>
        <w:rPr>
          <w:rFonts w:ascii="Consolas" w:cs="Consolas" w:eastAsia="Consolas" w:hAnsi="Consolas"/>
          <w:sz w:val="20"/>
          <w:szCs w:val="20"/>
          <w:shd w:fill="F2F2F2"/>
        </w:rPr>
        <w:t xml:space="preserve">DESCRIBE</w:t>
      </w:r>
      <w:r>
        <w:rPr>
          <w:rFonts w:ascii="Calibri" w:cs="Calibri" w:eastAsia="Calibri" w:hAnsi="Calibri"/>
        </w:rPr>
        <w:t xml:space="preserve">/</w:t>
      </w:r>
      <w:r>
        <w:rPr>
          <w:rFonts w:ascii="Consolas" w:cs="Consolas" w:eastAsia="Consolas" w:hAnsi="Consolas"/>
          <w:sz w:val="20"/>
          <w:szCs w:val="20"/>
          <w:shd w:fill="F2F2F2"/>
        </w:rPr>
        <w:t xml:space="preserve">SELECT</w:t>
      </w:r>
      <w:r>
        <w:rPr>
          <w:rFonts w:ascii="Calibri" w:cs="Calibri" w:eastAsia="Calibri" w:hAnsi="Calibri"/>
        </w:rPr>
        <w:t xml:space="preserve"> against the live GitHub-hosted parquet files</w:t>
      </w:r>
    </w:p>
    <w:p>
      <w:pPr>
        <w:spacing w:after="80"/>
      </w:pPr>
      <w:r>
        <w:rPr>
          <w:rFonts w:ascii="Calibri" w:cs="Calibri" w:eastAsia="Calibri" w:hAnsi="Calibri"/>
        </w:rPr>
        <w:t xml:space="preserve">(not assumed from the brief's docs site, which may lag):</w:t>
      </w:r>
    </w:p>
    <w:p/>
    <w:p>
      <w:pPr>
        <w:pStyle w:val="ListParagraph"/>
        <w:numPr>
          <w:ilvl w:val="0"/>
          <w:numId w:val="1"/>
        </w:numPr>
      </w:pPr>
      <w:r>
        <w:rPr>
          <w:rFonts w:ascii="Consolas" w:cs="Consolas" w:eastAsia="Consolas" w:hAnsi="Consolas"/>
          <w:sz w:val="20"/>
          <w:szCs w:val="20"/>
          <w:shd w:fill="F2F2F2"/>
        </w:rPr>
        <w:t xml:space="preserve">bundle_respiratory/dist/flu_ed_visits_by_county.parquet</w:t>
      </w:r>
      <w:r>
        <w:rPr>
          <w:rFonts w:ascii="Calibri" w:cs="Calibri" w:eastAsia="Calibri" w:hAnsi="Calibri"/>
        </w:rPr>
        <w:t xml:space="preserve"> — </w:t>
      </w:r>
      <w:r>
        <w:rPr>
          <w:rFonts w:ascii="Consolas" w:cs="Consolas" w:eastAsia="Consolas" w:hAnsi="Consolas"/>
          <w:sz w:val="20"/>
          <w:szCs w:val="20"/>
          <w:shd w:fill="F2F2F2"/>
        </w:rPr>
        <w:t xml:space="preserve">source, fips (DOUBLE), week_end (DATE), percent_visits_flu (DOUBLE), is_state_estimate (DOUBLE)</w:t>
      </w:r>
    </w:p>
    <w:p>
      <w:pPr>
        <w:pStyle w:val="ListParagraph"/>
        <w:numPr>
          <w:ilvl w:val="0"/>
          <w:numId w:val="1"/>
        </w:numPr>
      </w:pPr>
      <w:r>
        <w:rPr>
          <w:rFonts w:ascii="Consolas" w:cs="Consolas" w:eastAsia="Consolas" w:hAnsi="Consolas"/>
          <w:sz w:val="20"/>
          <w:szCs w:val="20"/>
          <w:shd w:fill="F2F2F2"/>
        </w:rPr>
        <w:t xml:space="preserve">bundle_respiratory/dist/covid_ed_visits_by_county.parquet</w:t>
      </w:r>
      <w:r>
        <w:rPr>
          <w:rFonts w:ascii="Calibri" w:cs="Calibri" w:eastAsia="Calibri" w:hAnsi="Calibri"/>
        </w:rPr>
        <w:t xml:space="preserve"> — same shape, </w:t>
      </w:r>
      <w:r>
        <w:rPr>
          <w:rFonts w:ascii="Consolas" w:cs="Consolas" w:eastAsia="Consolas" w:hAnsi="Consolas"/>
          <w:sz w:val="20"/>
          <w:szCs w:val="20"/>
          <w:shd w:fill="F2F2F2"/>
        </w:rPr>
        <w:t xml:space="preserve">percent_visits_covid</w:t>
      </w:r>
    </w:p>
    <w:p>
      <w:pPr>
        <w:pStyle w:val="ListParagraph"/>
        <w:numPr>
          <w:ilvl w:val="0"/>
          <w:numId w:val="1"/>
        </w:numPr>
      </w:pPr>
      <w:r>
        <w:rPr>
          <w:rFonts w:ascii="Consolas" w:cs="Consolas" w:eastAsia="Consolas" w:hAnsi="Consolas"/>
          <w:sz w:val="20"/>
          <w:szCs w:val="20"/>
          <w:shd w:fill="F2F2F2"/>
        </w:rPr>
        <w:t xml:space="preserve">bundle_respiratory/dist/rsv_ed_visits_by_county.parquet</w:t>
      </w:r>
      <w:r>
        <w:rPr>
          <w:rFonts w:ascii="Calibri" w:cs="Calibri" w:eastAsia="Calibri" w:hAnsi="Calibri"/>
        </w:rPr>
        <w:t xml:space="preserve"> — same shape, </w:t>
      </w:r>
      <w:r>
        <w:rPr>
          <w:rFonts w:ascii="Consolas" w:cs="Consolas" w:eastAsia="Consolas" w:hAnsi="Consolas"/>
          <w:sz w:val="20"/>
          <w:szCs w:val="20"/>
          <w:shd w:fill="F2F2F2"/>
        </w:rPr>
        <w:t xml:space="preserve">percent_visits_rsv</w:t>
      </w:r>
    </w:p>
    <w:p>
      <w:pPr>
        <w:pStyle w:val="ListParagraph"/>
        <w:numPr>
          <w:ilvl w:val="0"/>
          <w:numId w:val="1"/>
        </w:numPr>
      </w:pPr>
      <w:r>
        <w:rPr>
          <w:rFonts w:ascii="Consolas" w:cs="Consolas" w:eastAsia="Consolas" w:hAnsi="Consolas"/>
          <w:sz w:val="20"/>
          <w:szCs w:val="20"/>
          <w:shd w:fill="F2F2F2"/>
        </w:rPr>
        <w:t xml:space="preserve">bundle_measles/dist/measles_county.parquet</w:t>
      </w:r>
      <w:r>
        <w:rPr>
          <w:rFonts w:ascii="Calibri" w:cs="Calibri" w:eastAsia="Calibri" w:hAnsi="Calibri"/>
        </w:rPr>
        <w:t xml:space="preserve"> — </w:t>
      </w:r>
      <w:r>
        <w:rPr>
          <w:rFonts w:ascii="Consolas" w:cs="Consolas" w:eastAsia="Consolas" w:hAnsi="Consolas"/>
          <w:sz w:val="20"/>
          <w:szCs w:val="20"/>
          <w:shd w:fill="F2F2F2"/>
        </w:rPr>
        <w:t xml:space="preserve">geography (VARCHAR), is_state_estimate (DOUBLE), date (DATE), year (INTEGER), week (INTEGER), source (VARCHAR), value (DOUBLE)</w:t>
      </w:r>
    </w:p>
    <w:p>
      <w:pPr>
        <w:pStyle w:val="ListParagraph"/>
        <w:numPr>
          <w:ilvl w:val="0"/>
          <w:numId w:val="1"/>
        </w:numPr>
      </w:pPr>
      <w:r>
        <w:rPr>
          <w:rFonts w:ascii="Consolas" w:cs="Consolas" w:eastAsia="Consolas" w:hAnsi="Consolas"/>
          <w:sz w:val="20"/>
          <w:szCs w:val="20"/>
          <w:shd w:fill="F2F2F2"/>
        </w:rPr>
        <w:t xml:space="preserve">bundle_measles/dist/measles_state.parquet</w:t>
      </w:r>
      <w:r>
        <w:rPr>
          <w:rFonts w:ascii="Calibri" w:cs="Calibri" w:eastAsia="Calibri" w:hAnsi="Calibri"/>
        </w:rPr>
        <w:t xml:space="preserve"> — </w:t>
      </w:r>
      <w:r>
        <w:rPr>
          <w:rFonts w:ascii="Consolas" w:cs="Consolas" w:eastAsia="Consolas" w:hAnsi="Consolas"/>
          <w:sz w:val="20"/>
          <w:szCs w:val="20"/>
          <w:shd w:fill="F2F2F2"/>
        </w:rPr>
        <w:t xml:space="preserve">geography (VARCHAR, state name), date (DATE), year (DOUBLE), week (DOUBLE), source (VARCHAR), value (DOUBLE)</w:t>
      </w:r>
    </w:p>
    <w:p/>
    <w:p>
      <w:pPr>
        <w:spacing w:after="80"/>
      </w:pPr>
      <w:r>
        <w:rPr>
          <w:rFonts w:ascii="Calibri" w:cs="Calibri" w:eastAsia="Calibri" w:hAnsi="Calibri"/>
        </w:rPr>
        <w:t xml:space="preserve">Full file listing for </w:t>
      </w:r>
      <w:r>
        <w:rPr>
          <w:rFonts w:ascii="Consolas" w:cs="Consolas" w:eastAsia="Consolas" w:hAnsi="Consolas"/>
          <w:sz w:val="20"/>
          <w:szCs w:val="20"/>
          <w:shd w:fill="F2F2F2"/>
        </w:rPr>
        <w:t xml:space="preserve">bundle_respiratory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sz w:val="20"/>
          <w:szCs w:val="20"/>
          <w:shd w:fill="F2F2F2"/>
        </w:rPr>
        <w:t xml:space="preserve">bundle_measles</w:t>
      </w:r>
      <w:r>
        <w:rPr>
          <w:rFonts w:ascii="Calibri" w:cs="Calibri" w:eastAsia="Calibri" w:hAnsi="Calibri"/>
        </w:rPr>
        <w:t xml:space="preserve">,</w:t>
      </w:r>
    </w:p>
    <w:p>
      <w:pPr>
        <w:spacing w:after="80"/>
      </w:pPr>
      <w:r>
        <w:rPr>
          <w:rFonts w:ascii="Consolas" w:cs="Consolas" w:eastAsia="Consolas" w:hAnsi="Consolas"/>
          <w:sz w:val="20"/>
          <w:szCs w:val="20"/>
          <w:shd w:fill="F2F2F2"/>
        </w:rPr>
        <w:t xml:space="preserve">bundle_childhood_immunizations</w:t>
      </w:r>
      <w:r>
        <w:rPr>
          <w:rFonts w:ascii="Calibri" w:cs="Calibri" w:eastAsia="Calibri" w:hAnsi="Calibri"/>
        </w:rPr>
        <w:t xml:space="preserve">, and </w:t>
      </w:r>
      <w:r>
        <w:rPr>
          <w:rFonts w:ascii="Consolas" w:cs="Consolas" w:eastAsia="Consolas" w:hAnsi="Consolas"/>
          <w:sz w:val="20"/>
          <w:szCs w:val="20"/>
          <w:shd w:fill="F2F2F2"/>
        </w:rPr>
        <w:t xml:space="preserve">bundle_chronic_diseases</w:t>
      </w:r>
      <w:r>
        <w:rPr>
          <w:rFonts w:ascii="Calibri" w:cs="Calibri" w:eastAsia="Calibri" w:hAnsi="Calibri"/>
        </w:rPr>
        <w:t xml:space="preserve"> was retrieved from the</w:t>
      </w:r>
    </w:p>
    <w:p>
      <w:pPr>
        <w:spacing w:after="80"/>
      </w:pPr>
      <w:r>
        <w:rPr>
          <w:rFonts w:ascii="Calibri" w:cs="Calibri" w:eastAsia="Calibri" w:hAnsi="Calibri"/>
        </w:rPr>
        <w:t xml:space="preserve">GitHub contents API (</w:t>
      </w:r>
      <w:r>
        <w:rPr>
          <w:rFonts w:ascii="Consolas" w:cs="Consolas" w:eastAsia="Consolas" w:hAnsi="Consolas"/>
          <w:sz w:val="20"/>
          <w:szCs w:val="20"/>
          <w:shd w:fill="F2F2F2"/>
        </w:rPr>
        <w:t xml:space="preserve">api.github.com/repos/PopHIVE/Ingest/contents/data/&lt;bundle&gt;/dist</w:t>
      </w:r>
      <w:r>
        <w:rPr>
          <w:rFonts w:ascii="Calibri" w:cs="Calibri" w:eastAsia="Calibri" w:hAnsi="Calibri"/>
        </w:rPr>
        <w:t xml:space="preserve">)</w:t>
      </w:r>
    </w:p>
    <w:p>
      <w:pPr>
        <w:spacing w:after="80"/>
      </w:pPr>
      <w:r>
        <w:rPr>
          <w:rFonts w:ascii="Calibri" w:cs="Calibri" w:eastAsia="Calibri" w:hAnsi="Calibri"/>
        </w:rPr>
        <w:t xml:space="preserve">to avoid guessing filenames; measles has no ED-visits-style file (it's tracked via case</w:t>
      </w:r>
    </w:p>
    <w:p>
      <w:pPr>
        <w:spacing w:after="80"/>
      </w:pPr>
      <w:r>
        <w:rPr>
          <w:rFonts w:ascii="Calibri" w:cs="Calibri" w:eastAsia="Calibri" w:hAnsi="Calibri"/>
        </w:rPr>
        <w:t xml:space="preserve">counts, not NSSP visit %, which matches the brief's description). Childhood-immunization</w:t>
      </w:r>
    </w:p>
    <w:p>
      <w:pPr>
        <w:spacing w:after="80"/>
      </w:pPr>
      <w:r>
        <w:rPr>
          <w:rFonts w:ascii="Calibri" w:cs="Calibri" w:eastAsia="Calibri" w:hAnsi="Calibri"/>
        </w:rPr>
        <w:t xml:space="preserve">and chronic-disease file schemas are not yet inspected — planned before M5/M6.</w:t>
      </w:r>
    </w:p>
    <w:p/>
    <w:tbl>
      <w:tblPr>
        <w:tblW w:type="pct" w:w="100%"/>
        <w:tblBorders>
          <w:top w:val="single" w:color="CCCCCC" w:sz="2"/>
          <w:left w:val="single" w:color="CCCCCC" w:sz="2"/>
          <w:bottom w:val="single" w:color="CCCCCC" w:sz="2"/>
          <w:right w:val="single" w:color="CCCCCC" w:sz="2"/>
          <w:insideH w:val="single" w:color="CCCCCC" w:sz="2"/>
          <w:insideV w:val="single" w:color="CCCCCC" w:sz="2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0%"/>
            <w:shd w:fill="E7ECF3"/>
          </w:tcPr>
          <w:p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W w:type="pct" w:w="20%"/>
            <w:shd w:fill="E7ECF3"/>
          </w:tcPr>
          <w:p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W w:type="pct" w:w="20%"/>
            <w:shd w:fill="E7ECF3"/>
          </w:tcPr>
          <w:p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W w:type="pct" w:w="20%"/>
            <w:shd w:fill="E7ECF3"/>
          </w:tcPr>
          <w:p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W w:type="pct" w:w="20%"/>
            <w:shd w:fill="E7ECF3"/>
          </w:tcPr>
          <w:p>
            <w:r>
              <w:rPr>
                <w:b/>
                <w:bCs/>
                <w:sz w:val="20"/>
                <w:szCs w:val="20"/>
              </w:rPr>
            </w:r>
          </w:p>
        </w:tc>
      </w:tr>
      <w:tr>
        <w:trPr>
          <w:tblHeader w:val="false"/>
        </w:trPr>
        <w:tc>
          <w:tcPr>
            <w:tcW w:type="pct" w:w="20%"/>
          </w:tcPr>
          <w:p>
            <w:r>
              <w:rPr>
                <w:sz w:val="20"/>
                <w:szCs w:val="20"/>
              </w:rPr>
            </w:r>
          </w:p>
        </w:tc>
        <w:tc>
          <w:tcPr>
            <w:tcW w:type="pct" w:w="20%"/>
          </w:tcPr>
          <w:p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W w:type="pct" w:w="20%"/>
          </w:tcPr>
          <w:p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W w:type="pct" w:w="20%"/>
          </w:tcPr>
          <w:p>
            <w:r>
              <w:rPr>
                <w:sz w:val="20"/>
                <w:szCs w:val="20"/>
              </w:rPr>
            </w:r>
          </w:p>
        </w:tc>
        <w:tc>
          <w:tcPr>
            <w:tcW w:type="pct" w:w="20%"/>
          </w:tcPr>
          <w:p>
            <w:r>
              <w:rPr>
                <w:sz w:val="20"/>
                <w:szCs w:val="20"/>
              </w:rPr>
            </w:r>
          </w:p>
        </w:tc>
      </w:tr>
    </w:tbl>
    <w:p>
      <w:pPr>
        <w:spacing w:after="120"/>
      </w:pPr>
    </w:p>
    <w:p/>
    <w:p>
      <w:pPr>
        <w:pStyle w:val="Heading2"/>
        <w:spacing w:after="120" w:before="240"/>
      </w:pPr>
      <w:r>
        <w:rPr>
          <w:rFonts w:ascii="Calibri" w:cs="Calibri" w:eastAsia="Calibri" w:hAnsi="Calibri"/>
        </w:rPr>
        <w:t xml:space="preserve">Additional data-quality catches (M5/M6)</w:t>
      </w:r>
    </w:p>
    <w:p/>
    <w:p>
      <w:pPr>
        <w:pStyle w:val="ListParagraph"/>
        <w:numPr>
          <w:ilvl w:val="0"/>
          <w:numId w:val="1"/>
        </w:numPr>
      </w:pPr>
      <w:r>
        <w:rPr>
          <w:rFonts w:ascii="Consolas" w:cs="Consolas" w:eastAsia="Consolas" w:hAnsi="Consolas"/>
          <w:sz w:val="20"/>
          <w:szCs w:val="20"/>
          <w:shd w:fill="F2F2F2"/>
        </w:rPr>
        <w:t xml:space="preserve">bundle_childhood_immunizations/dist/wapo_vax_counties.parquet</w:t>
      </w:r>
      <w:r>
        <w:rPr>
          <w:rFonts w:ascii="Calibri" w:cs="Calibri" w:eastAsia="Calibri" w:hAnsi="Calibri"/>
        </w:rPr>
        <w:t xml:space="preserve">'s </w:t>
      </w:r>
      <w:r>
        <w:rPr>
          <w:rFonts w:ascii="Consolas" w:cs="Consolas" w:eastAsia="Consolas" w:hAnsi="Consolas"/>
          <w:sz w:val="20"/>
          <w:szCs w:val="20"/>
          <w:shd w:fill="F2F2F2"/>
        </w:rPr>
        <w:t xml:space="preserve">wapo_county_vax_rate</w:t>
      </w:r>
      <w:r>
        <w:rPr>
          <w:rFonts w:ascii="Calibri" w:cs="Calibri" w:eastAsia="Calibri" w:hAnsi="Calibri"/>
        </w:rPr>
        <w:t xml:space="preserve"> didn't reconcile with its sibling file's per-school exemption-rate columns (e.g. a school with a 1% "overall rate" and 0% exemptions across all categories) — deferred rather than ship a possibly-mislabeled county vaccination metric (E-011).</w:t>
      </w:r>
    </w:p>
    <w:p>
      <w:pPr>
        <w:pStyle w:val="ListParagraph"/>
        <w:numPr>
          <w:ilvl w:val="0"/>
          <w:numId w:val="1"/>
        </w:numPr>
      </w:pPr>
      <w:r>
        <w:rPr>
          <w:rFonts w:ascii="Consolas" w:cs="Consolas" w:eastAsia="Consolas" w:hAnsi="Consolas"/>
          <w:sz w:val="20"/>
          <w:szCs w:val="20"/>
          <w:shd w:fill="F2F2F2"/>
        </w:rPr>
        <w:t xml:space="preserve">bundle_chronic_diseases/dist/overdose_by_geography_and_source.parquet</w:t>
      </w:r>
      <w:r>
        <w:rPr>
          <w:rFonts w:ascii="Calibri" w:cs="Calibri" w:eastAsia="Calibri" w:hAnsi="Calibri"/>
        </w:rPr>
        <w:t xml:space="preserve">'s </w:t>
      </w:r>
      <w:r>
        <w:rPr>
          <w:rFonts w:ascii="Consolas" w:cs="Consolas" w:eastAsia="Consolas" w:hAnsi="Consolas"/>
          <w:sz w:val="20"/>
          <w:szCs w:val="20"/>
          <w:shd w:fill="F2F2F2"/>
        </w:rPr>
        <w:t xml:space="preserve">value</w:t>
      </w:r>
      <w:r>
        <w:rPr>
          <w:rFonts w:ascii="Calibri" w:cs="Calibri" w:eastAsia="Calibri" w:hAnsi="Calibri"/>
        </w:rPr>
        <w:t xml:space="preserve"> column produced implausible state overdose-death rates (~120-140 per 100k at the most recent date checked, against a real-world ceiling around 40-55) — used </w:t>
      </w:r>
      <w:r>
        <w:rPr>
          <w:rFonts w:ascii="Consolas" w:cs="Consolas" w:eastAsia="Consolas" w:hAnsi="Consolas"/>
          <w:sz w:val="20"/>
          <w:szCs w:val="20"/>
          <w:shd w:fill="F2F2F2"/>
        </w:rPr>
        <w:t xml:space="preserve">overdose_deaths_state.parquet</w:t>
      </w:r>
      <w:r>
        <w:rPr>
          <w:rFonts w:ascii="Calibri" w:cs="Calibri" w:eastAsia="Calibri" w:hAnsi="Calibri"/>
        </w:rPr>
        <w:t xml:space="preserve"> instead, whose numbers passed a sanity check against known CDC ranges.</w:t>
      </w:r>
    </w:p>
    <w:p/>
    <w:p>
      <w:pPr>
        <w:pStyle w:val="Heading1"/>
        <w:spacing w:after="120" w:before="240"/>
      </w:pPr>
      <w:r>
        <w:rPr>
          <w:rFonts w:ascii="Calibri" w:cs="Calibri" w:eastAsia="Calibri" w:hAnsi="Calibri"/>
        </w:rPr>
        <w:t xml:space="preserve">Specification change log</w:t>
      </w:r>
    </w:p>
    <w:p/>
    <w:tbl>
      <w:tblPr>
        <w:tblW w:type="pct" w:w="100%"/>
        <w:tblBorders>
          <w:top w:val="single" w:color="CCCCCC" w:sz="2"/>
          <w:left w:val="single" w:color="CCCCCC" w:sz="2"/>
          <w:bottom w:val="single" w:color="CCCCCC" w:sz="2"/>
          <w:right w:val="single" w:color="CCCCCC" w:sz="2"/>
          <w:insideH w:val="single" w:color="CCCCCC" w:sz="2"/>
          <w:insideV w:val="single" w:color="CCCCCC" w:sz="2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5%"/>
            <w:shd w:fill="E7ECF3"/>
          </w:tcPr>
          <w:p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W w:type="pct" w:w="25%"/>
            <w:shd w:fill="E7ECF3"/>
          </w:tcPr>
          <w:p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W w:type="pct" w:w="25%"/>
            <w:shd w:fill="E7ECF3"/>
          </w:tcPr>
          <w:p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W w:type="pct" w:w="25%"/>
            <w:shd w:fill="E7ECF3"/>
          </w:tcPr>
          <w:p>
            <w:r>
              <w:rPr>
                <w:b/>
                <w:bCs/>
                <w:sz w:val="20"/>
                <w:szCs w:val="20"/>
              </w:rPr>
            </w:r>
          </w:p>
        </w:tc>
      </w:tr>
      <w:tr>
        <w:trPr>
          <w:tblHeader w:val="false"/>
        </w:trPr>
        <w:tc>
          <w:tcPr>
            <w:tcW w:type="pct" w:w="25%"/>
          </w:tcPr>
          <w:p>
            <w:r>
              <w:rPr>
                <w:sz w:val="20"/>
                <w:szCs w:val="20"/>
              </w:rPr>
            </w:r>
          </w:p>
        </w:tc>
        <w:tc>
          <w:tcPr>
            <w:tcW w:type="pct" w:w="25%"/>
          </w:tcPr>
          <w:p>
            <w:r>
              <w:rPr>
                <w:sz w:val="20"/>
                <w:szCs w:val="20"/>
              </w:rPr>
            </w:r>
          </w:p>
        </w:tc>
        <w:tc>
          <w:tcPr>
            <w:tcW w:type="pct" w:w="25%"/>
          </w:tcPr>
          <w:p>
            <w:r>
              <w:rPr>
                <w:sz w:val="20"/>
                <w:szCs w:val="20"/>
              </w:rPr>
            </w:r>
          </w:p>
        </w:tc>
        <w:tc>
          <w:tcPr>
            <w:tcW w:type="pct" w:w="25%"/>
          </w:tcPr>
          <w:p>
            <w:r>
              <w:rPr>
                <w:sz w:val="20"/>
                <w:szCs w:val="20"/>
              </w:rPr>
            </w:r>
          </w:p>
        </w:tc>
      </w:tr>
      <w:tr>
        <w:trPr>
          <w:tblHeader w:val="false"/>
        </w:trPr>
        <w:tc>
          <w:tcPr>
            <w:tcW w:type="pct" w:w="25%"/>
          </w:tcPr>
          <w:p>
            <w:r>
              <w:rPr>
                <w:sz w:val="20"/>
                <w:szCs w:val="20"/>
              </w:rPr>
            </w:r>
          </w:p>
        </w:tc>
        <w:tc>
          <w:tcPr>
            <w:tcW w:type="pct" w:w="25%"/>
          </w:tcPr>
          <w:p>
            <w:r>
              <w:rPr>
                <w:sz w:val="20"/>
                <w:szCs w:val="20"/>
              </w:rPr>
            </w:r>
          </w:p>
        </w:tc>
        <w:tc>
          <w:tcPr>
            <w:tcW w:type="pct" w:w="25%"/>
          </w:tcPr>
          <w:p>
            <w:r>
              <w:rPr>
                <w:sz w:val="20"/>
                <w:szCs w:val="20"/>
              </w:rPr>
            </w:r>
          </w:p>
        </w:tc>
        <w:tc>
          <w:tcPr>
            <w:tcW w:type="pct" w:w="25%"/>
          </w:tcPr>
          <w:p>
            <w:r>
              <w:rPr>
                <w:sz w:val="20"/>
                <w:szCs w:val="20"/>
              </w:rPr>
            </w:r>
          </w:p>
        </w:tc>
      </w:tr>
      <w:tr>
        <w:trPr>
          <w:tblHeader w:val="false"/>
        </w:trPr>
        <w:tc>
          <w:tcPr>
            <w:tcW w:type="pct" w:w="25%"/>
          </w:tcPr>
          <w:p>
            <w:r>
              <w:rPr>
                <w:sz w:val="20"/>
                <w:szCs w:val="20"/>
              </w:rPr>
            </w:r>
          </w:p>
        </w:tc>
        <w:tc>
          <w:tcPr>
            <w:tcW w:type="pct" w:w="25%"/>
          </w:tcPr>
          <w:p>
            <w:r>
              <w:rPr>
                <w:sz w:val="20"/>
                <w:szCs w:val="20"/>
              </w:rPr>
            </w:r>
          </w:p>
        </w:tc>
        <w:tc>
          <w:tcPr>
            <w:tcW w:type="pct" w:w="25%"/>
          </w:tcPr>
          <w:p>
            <w:r>
              <w:rPr>
                <w:sz w:val="20"/>
                <w:szCs w:val="20"/>
              </w:rPr>
            </w:r>
          </w:p>
        </w:tc>
        <w:tc>
          <w:tcPr>
            <w:tcW w:type="pct" w:w="25%"/>
          </w:tcPr>
          <w:p>
            <w:r>
              <w:rPr>
                <w:sz w:val="20"/>
                <w:szCs w:val="20"/>
              </w:rPr>
            </w:r>
          </w:p>
        </w:tc>
      </w:tr>
      <w:tr>
        <w:trPr>
          <w:tblHeader w:val="false"/>
        </w:trPr>
        <w:tc>
          <w:tcPr>
            <w:tcW w:type="pct" w:w="25%"/>
          </w:tcPr>
          <w:p>
            <w:r>
              <w:rPr>
                <w:sz w:val="20"/>
                <w:szCs w:val="20"/>
              </w:rPr>
            </w:r>
          </w:p>
        </w:tc>
        <w:tc>
          <w:tcPr>
            <w:tcW w:type="pct" w:w="25%"/>
          </w:tcPr>
          <w:p>
            <w:r>
              <w:rPr>
                <w:sz w:val="20"/>
                <w:szCs w:val="20"/>
              </w:rPr>
            </w:r>
          </w:p>
        </w:tc>
        <w:tc>
          <w:tcPr>
            <w:tcW w:type="pct" w:w="25%"/>
          </w:tcPr>
          <w:p>
            <w:r>
              <w:rPr>
                <w:sz w:val="20"/>
                <w:szCs w:val="20"/>
              </w:rPr>
            </w:r>
          </w:p>
        </w:tc>
        <w:tc>
          <w:tcPr>
            <w:tcW w:type="pct" w:w="25%"/>
          </w:tcPr>
          <w:p>
            <w:r>
              <w:rPr>
                <w:sz w:val="20"/>
                <w:szCs w:val="20"/>
              </w:rPr>
            </w:r>
          </w:p>
        </w:tc>
      </w:tr>
      <w:tr>
        <w:trPr>
          <w:tblHeader w:val="false"/>
        </w:trPr>
        <w:tc>
          <w:tcPr>
            <w:tcW w:type="pct" w:w="25%"/>
          </w:tcPr>
          <w:p>
            <w:r>
              <w:rPr>
                <w:sz w:val="20"/>
                <w:szCs w:val="20"/>
              </w:rPr>
            </w:r>
          </w:p>
        </w:tc>
        <w:tc>
          <w:tcPr>
            <w:tcW w:type="pct" w:w="25%"/>
          </w:tcPr>
          <w:p>
            <w:r>
              <w:rPr>
                <w:sz w:val="20"/>
                <w:szCs w:val="20"/>
              </w:rPr>
            </w:r>
          </w:p>
        </w:tc>
        <w:tc>
          <w:tcPr>
            <w:tcW w:type="pct" w:w="25%"/>
          </w:tcPr>
          <w:p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W w:type="pct" w:w="25%"/>
          </w:tcPr>
          <w:p>
            <w:r>
              <w:rPr>
                <w:sz w:val="20"/>
                <w:szCs w:val="20"/>
              </w:rPr>
            </w:r>
          </w:p>
        </w:tc>
      </w:tr>
      <w:tr>
        <w:trPr>
          <w:tblHeader w:val="false"/>
        </w:trPr>
        <w:tc>
          <w:tcPr>
            <w:tcW w:type="pct" w:w="25%"/>
          </w:tcPr>
          <w:p>
            <w:r>
              <w:rPr>
                <w:sz w:val="20"/>
                <w:szCs w:val="20"/>
              </w:rPr>
            </w:r>
          </w:p>
        </w:tc>
        <w:tc>
          <w:tcPr>
            <w:tcW w:type="pct" w:w="25%"/>
          </w:tcPr>
          <w:p>
            <w:r>
              <w:rPr>
                <w:sz w:val="20"/>
                <w:szCs w:val="20"/>
              </w:rPr>
            </w:r>
          </w:p>
        </w:tc>
        <w:tc>
          <w:tcPr>
            <w:tcW w:type="pct" w:w="25%"/>
          </w:tcPr>
          <w:p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W w:type="pct" w:w="25%"/>
          </w:tcPr>
          <w:p>
            <w:r>
              <w:rPr>
                <w:sz w:val="20"/>
                <w:szCs w:val="20"/>
              </w:rPr>
            </w:r>
          </w:p>
        </w:tc>
      </w:tr>
      <w:tr>
        <w:trPr>
          <w:tblHeader w:val="false"/>
        </w:trPr>
        <w:tc>
          <w:tcPr>
            <w:tcW w:type="pct" w:w="25%"/>
          </w:tcPr>
          <w:p>
            <w:r>
              <w:rPr>
                <w:sz w:val="20"/>
                <w:szCs w:val="20"/>
              </w:rPr>
            </w:r>
          </w:p>
        </w:tc>
        <w:tc>
          <w:tcPr>
            <w:tcW w:type="pct" w:w="25%"/>
          </w:tcPr>
          <w:p>
            <w:r>
              <w:rPr>
                <w:sz w:val="20"/>
                <w:szCs w:val="20"/>
              </w:rPr>
            </w:r>
          </w:p>
        </w:tc>
        <w:tc>
          <w:tcPr>
            <w:tcW w:type="pct" w:w="25%"/>
          </w:tcPr>
          <w:p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W w:type="pct" w:w="25%"/>
          </w:tcPr>
          <w:p>
            <w:r>
              <w:rPr>
                <w:sz w:val="20"/>
                <w:szCs w:val="20"/>
              </w:rPr>
            </w:r>
          </w:p>
        </w:tc>
      </w:tr>
      <w:tr>
        <w:trPr>
          <w:tblHeader w:val="false"/>
        </w:trPr>
        <w:tc>
          <w:tcPr>
            <w:tcW w:type="pct" w:w="25%"/>
          </w:tcPr>
          <w:p>
            <w:r>
              <w:rPr>
                <w:sz w:val="20"/>
                <w:szCs w:val="20"/>
              </w:rPr>
            </w:r>
          </w:p>
        </w:tc>
        <w:tc>
          <w:tcPr>
            <w:tcW w:type="pct" w:w="25%"/>
          </w:tcPr>
          <w:p>
            <w:r>
              <w:rPr>
                <w:sz w:val="20"/>
                <w:szCs w:val="20"/>
              </w:rPr>
            </w:r>
          </w:p>
        </w:tc>
        <w:tc>
          <w:tcPr>
            <w:tcW w:type="pct" w:w="25%"/>
          </w:tcPr>
          <w:p>
            <w:r>
              <w:rPr>
                <w:sz w:val="20"/>
                <w:szCs w:val="20"/>
              </w:rPr>
            </w:r>
          </w:p>
        </w:tc>
        <w:tc>
          <w:tcPr>
            <w:tcW w:type="pct" w:w="25%"/>
          </w:tcPr>
          <w:p>
            <w:r>
              <w:rPr>
                <w:sz w:val="20"/>
                <w:szCs w:val="20"/>
              </w:rPr>
            </w:r>
          </w:p>
        </w:tc>
      </w:tr>
      <w:tr>
        <w:trPr>
          <w:tblHeader w:val="false"/>
        </w:trPr>
        <w:tc>
          <w:tcPr>
            <w:tcW w:type="pct" w:w="25%"/>
          </w:tcPr>
          <w:p>
            <w:r>
              <w:rPr>
                <w:sz w:val="20"/>
                <w:szCs w:val="20"/>
              </w:rPr>
            </w:r>
          </w:p>
        </w:tc>
        <w:tc>
          <w:tcPr>
            <w:tcW w:type="pct" w:w="25%"/>
          </w:tcPr>
          <w:p>
            <w:r>
              <w:rPr>
                <w:sz w:val="20"/>
                <w:szCs w:val="20"/>
              </w:rPr>
            </w:r>
          </w:p>
        </w:tc>
        <w:tc>
          <w:tcPr>
            <w:tcW w:type="pct" w:w="25%"/>
          </w:tcPr>
          <w:p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W w:type="pct" w:w="25%"/>
          </w:tcPr>
          <w:p>
            <w:r>
              <w:rPr>
                <w:sz w:val="20"/>
                <w:szCs w:val="20"/>
              </w:rPr>
            </w:r>
          </w:p>
        </w:tc>
      </w:tr>
      <w:tr>
        <w:trPr>
          <w:tblHeader w:val="false"/>
        </w:trPr>
        <w:tc>
          <w:tcPr>
            <w:tcW w:type="pct" w:w="25%"/>
          </w:tcPr>
          <w:p>
            <w:r>
              <w:rPr>
                <w:sz w:val="20"/>
                <w:szCs w:val="20"/>
              </w:rPr>
            </w:r>
          </w:p>
        </w:tc>
        <w:tc>
          <w:tcPr>
            <w:tcW w:type="pct" w:w="25%"/>
          </w:tcPr>
          <w:p>
            <w:r>
              <w:rPr>
                <w:sz w:val="20"/>
                <w:szCs w:val="20"/>
              </w:rPr>
            </w:r>
          </w:p>
        </w:tc>
        <w:tc>
          <w:tcPr>
            <w:tcW w:type="pct" w:w="25%"/>
          </w:tcPr>
          <w:p>
            <w:r>
              <w:rPr>
                <w:sz w:val="20"/>
                <w:szCs w:val="20"/>
              </w:rPr>
            </w:r>
          </w:p>
        </w:tc>
        <w:tc>
          <w:tcPr>
            <w:tcW w:type="pct" w:w="25%"/>
          </w:tcPr>
          <w:p>
            <w:r>
              <w:rPr>
                <w:sz w:val="20"/>
                <w:szCs w:val="20"/>
              </w:rPr>
            </w:r>
          </w:p>
        </w:tc>
      </w:tr>
    </w:tbl>
    <w:p>
      <w:pPr>
        <w:spacing w:after="120"/>
      </w:pPr>
    </w:p>
    <w:p/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b811a7e9490af596adbe1db6fab083c3da4e1b82.png"/><Relationship Id="rId8" Type="http://schemas.openxmlformats.org/officeDocument/2006/relationships/image" Target="media/a65555d47633cf9fddcdabd24394c4caf06c84a2.png"/><Relationship Id="rId9" Type="http://schemas.openxmlformats.org/officeDocument/2006/relationships/image" Target="media/944ae15585ab7100f86b32b500e838b82a4ca6b7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2026-07-26T16:44:52.882Z</dcterms:created>
  <dcterms:modified xsi:type="dcterms:W3CDTF">2026-07-26T16:44:52.882Z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